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46" w:rsidRPr="00503874" w:rsidRDefault="00632C46" w:rsidP="00632C4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32C46" w:rsidRPr="00503874" w:rsidRDefault="00632C46" w:rsidP="00632C4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32C46" w:rsidRPr="00503874" w:rsidRDefault="00632C46" w:rsidP="00632C4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EC6CCA">
        <w:rPr>
          <w:rFonts w:ascii="Times New Roman" w:eastAsia="Arial" w:hAnsi="Times New Roman"/>
          <w:i/>
          <w:sz w:val="26"/>
          <w:szCs w:val="26"/>
        </w:rPr>
        <w:t>See United States v. Davis</w:t>
      </w:r>
      <w:r w:rsidRPr="00503874">
        <w:rPr>
          <w:rFonts w:ascii="Times New Roman" w:eastAsia="Arial" w:hAnsi="Times New Roman"/>
          <w:sz w:val="26"/>
          <w:szCs w:val="26"/>
        </w:rPr>
        <w:t>, 799 F.2d 1490, 1493-94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1986). </w:t>
      </w:r>
      <w:r w:rsidRPr="00EC6CCA">
        <w:rPr>
          <w:rFonts w:ascii="Times New Roman" w:eastAsia="Arial" w:hAnsi="Times New Roman"/>
          <w:sz w:val="26"/>
          <w:szCs w:val="26"/>
        </w:rPr>
        <w:t>See also</w:t>
      </w:r>
      <w:r w:rsidRPr="00EC6CCA">
        <w:rPr>
          <w:rFonts w:ascii="Times New Roman" w:eastAsia="Arial" w:hAnsi="Times New Roman"/>
          <w:i/>
          <w:sz w:val="26"/>
          <w:szCs w:val="26"/>
        </w:rPr>
        <w:t xml:space="preserve"> United States v. King</w:t>
      </w:r>
      <w:r w:rsidRPr="00503874">
        <w:rPr>
          <w:rFonts w:ascii="Times New Roman" w:eastAsia="Arial" w:hAnsi="Times New Roman"/>
          <w:sz w:val="26"/>
          <w:szCs w:val="26"/>
        </w:rPr>
        <w:t>, 73 F.3d 1564, 1569-71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1996), </w:t>
      </w:r>
      <w:r w:rsidRPr="00EC6CCA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519 U.S. 886, 117 S. Ct. 220, 136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153 (1996).</w:t>
      </w:r>
    </w:p>
    <w:p w:rsidR="00632C46" w:rsidRPr="00503874" w:rsidRDefault="00632C46" w:rsidP="00632C4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632C46" w:rsidRDefault="00632C46" w:rsidP="00632C4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However, in </w:t>
      </w:r>
      <w:r w:rsidRPr="00EC6CCA">
        <w:rPr>
          <w:rFonts w:ascii="Times New Roman" w:eastAsia="Arial" w:hAnsi="Times New Roman"/>
          <w:i/>
          <w:sz w:val="26"/>
          <w:szCs w:val="26"/>
        </w:rPr>
        <w:t>Jacobson v. United States</w:t>
      </w:r>
      <w:r w:rsidRPr="00503874">
        <w:rPr>
          <w:rFonts w:ascii="Times New Roman" w:eastAsia="Arial" w:hAnsi="Times New Roman"/>
          <w:sz w:val="26"/>
          <w:szCs w:val="26"/>
        </w:rPr>
        <w:t>, 503 U.S. 540, 112 S. Ct. 1535, 118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174 (1992), the Supreme Court held that the necessary predisposition of the Defendant must have existed before the Defendant was approached by Government agents or cooperating informants, and in </w:t>
      </w:r>
      <w:r w:rsidRPr="00EC6CCA">
        <w:rPr>
          <w:rFonts w:ascii="Times New Roman" w:eastAsia="Arial" w:hAnsi="Times New Roman"/>
          <w:i/>
          <w:sz w:val="26"/>
          <w:szCs w:val="26"/>
        </w:rPr>
        <w:t>United States v. Brown</w:t>
      </w:r>
      <w:r w:rsidRPr="00503874">
        <w:rPr>
          <w:rFonts w:ascii="Times New Roman" w:eastAsia="Arial" w:hAnsi="Times New Roman"/>
          <w:sz w:val="26"/>
          <w:szCs w:val="26"/>
        </w:rPr>
        <w:t>, 43 F.3d 618, 628 n.8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1995), </w:t>
      </w:r>
      <w:r w:rsidRPr="00EC6CCA">
        <w:rPr>
          <w:rFonts w:ascii="Times New Roman" w:eastAsia="Arial" w:hAnsi="Times New Roman"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516 U.S. 917, 116 S. Ct. 309, 133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212 (1995), the Court of Appeals upheld the sufficiency and correctness of the former instruction but implied that clarification might be appropriate in the light of </w:t>
      </w:r>
      <w:r w:rsidRPr="00EC6CCA">
        <w:rPr>
          <w:rFonts w:ascii="Times New Roman" w:eastAsia="Arial" w:hAnsi="Times New Roman"/>
          <w:i/>
          <w:sz w:val="26"/>
          <w:szCs w:val="26"/>
        </w:rPr>
        <w:t>Jacobson</w:t>
      </w:r>
      <w:r w:rsidRPr="00503874">
        <w:rPr>
          <w:rFonts w:ascii="Times New Roman" w:eastAsia="Arial" w:hAnsi="Times New Roman"/>
          <w:sz w:val="26"/>
          <w:szCs w:val="26"/>
        </w:rPr>
        <w:t>. The present reformulation of the instruction on entra</w:t>
      </w:r>
      <w:r>
        <w:rPr>
          <w:rFonts w:ascii="Times New Roman" w:eastAsia="Arial" w:hAnsi="Times New Roman"/>
          <w:sz w:val="26"/>
          <w:szCs w:val="26"/>
        </w:rPr>
        <w:t>pment makes that clarification.</w:t>
      </w:r>
    </w:p>
    <w:sectPr w:rsidR="00725167" w:rsidRPr="00632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790" w:rsidRDefault="00B34790" w:rsidP="00B34790">
      <w:pPr>
        <w:spacing w:after="0" w:line="240" w:lineRule="auto"/>
      </w:pPr>
      <w:r>
        <w:separator/>
      </w:r>
    </w:p>
  </w:endnote>
  <w:endnote w:type="continuationSeparator" w:id="0">
    <w:p w:rsidR="00B34790" w:rsidRDefault="00B34790" w:rsidP="00B3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790" w:rsidRDefault="00B34790" w:rsidP="00B34790">
      <w:pPr>
        <w:spacing w:after="0" w:line="240" w:lineRule="auto"/>
      </w:pPr>
      <w:r>
        <w:separator/>
      </w:r>
    </w:p>
  </w:footnote>
  <w:footnote w:type="continuationSeparator" w:id="0">
    <w:p w:rsidR="00B34790" w:rsidRDefault="00B34790" w:rsidP="00B34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35397"/>
    <w:rsid w:val="00150A55"/>
    <w:rsid w:val="00157747"/>
    <w:rsid w:val="00194E82"/>
    <w:rsid w:val="001E5B53"/>
    <w:rsid w:val="002604B9"/>
    <w:rsid w:val="003067A0"/>
    <w:rsid w:val="004C148A"/>
    <w:rsid w:val="00511CE4"/>
    <w:rsid w:val="0056064A"/>
    <w:rsid w:val="005C4DB9"/>
    <w:rsid w:val="00615301"/>
    <w:rsid w:val="006179FB"/>
    <w:rsid w:val="00632C46"/>
    <w:rsid w:val="00725167"/>
    <w:rsid w:val="00780FDD"/>
    <w:rsid w:val="00783A2A"/>
    <w:rsid w:val="0081575C"/>
    <w:rsid w:val="008B4118"/>
    <w:rsid w:val="008E4BA2"/>
    <w:rsid w:val="009458BA"/>
    <w:rsid w:val="00A355FD"/>
    <w:rsid w:val="00A66EA6"/>
    <w:rsid w:val="00AA01A6"/>
    <w:rsid w:val="00AC24E2"/>
    <w:rsid w:val="00AE20D4"/>
    <w:rsid w:val="00AF2C77"/>
    <w:rsid w:val="00B34790"/>
    <w:rsid w:val="00B85D99"/>
    <w:rsid w:val="00B930F5"/>
    <w:rsid w:val="00BA1F2B"/>
    <w:rsid w:val="00CD51F7"/>
    <w:rsid w:val="00CE7DC5"/>
    <w:rsid w:val="00CF4F9A"/>
    <w:rsid w:val="00D163A7"/>
    <w:rsid w:val="00D7262F"/>
    <w:rsid w:val="00DA00D9"/>
    <w:rsid w:val="00DC18AE"/>
    <w:rsid w:val="00DE7E97"/>
    <w:rsid w:val="00E31401"/>
    <w:rsid w:val="00E42DFC"/>
    <w:rsid w:val="00E627E0"/>
    <w:rsid w:val="00E85563"/>
    <w:rsid w:val="00EB1384"/>
    <w:rsid w:val="00EC6CCA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790"/>
  </w:style>
  <w:style w:type="paragraph" w:styleId="Footer">
    <w:name w:val="footer"/>
    <w:basedOn w:val="Normal"/>
    <w:link w:val="FooterChar"/>
    <w:uiPriority w:val="99"/>
    <w:unhideWhenUsed/>
    <w:rsid w:val="00B3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790"/>
  </w:style>
  <w:style w:type="paragraph" w:styleId="Footer">
    <w:name w:val="footer"/>
    <w:basedOn w:val="Normal"/>
    <w:link w:val="FooterChar"/>
    <w:uiPriority w:val="99"/>
    <w:unhideWhenUsed/>
    <w:rsid w:val="00B34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2014-03-31T21:18:00Z</dcterms:created>
  <dcterms:modified xsi:type="dcterms:W3CDTF">2014-06-16T20:08:00Z</dcterms:modified>
</cp:coreProperties>
</file>