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5DAD" w:rsidRPr="00503874" w:rsidRDefault="009F5DAD" w:rsidP="009F5DAD">
      <w:pPr>
        <w:spacing w:after="0" w:line="240" w:lineRule="auto"/>
        <w:jc w:val="both"/>
        <w:rPr>
          <w:rFonts w:ascii="Times New Roman" w:eastAsia="Arial" w:hAnsi="Times New Roman"/>
          <w:sz w:val="26"/>
          <w:szCs w:val="26"/>
        </w:rPr>
      </w:pPr>
      <w:r w:rsidRPr="00503874">
        <w:rPr>
          <w:rFonts w:ascii="Times New Roman" w:eastAsia="Arial" w:hAnsi="Times New Roman"/>
          <w:b/>
          <w:sz w:val="26"/>
          <w:szCs w:val="26"/>
          <w:u w:val="single"/>
        </w:rPr>
        <w:t>ANNOTATIONS AND COMMENTS</w:t>
      </w:r>
      <w:bookmarkStart w:id="0" w:name="_GoBack"/>
      <w:bookmarkEnd w:id="0"/>
    </w:p>
    <w:p w:rsidR="009F5DAD" w:rsidRPr="00503874" w:rsidRDefault="009F5DAD" w:rsidP="009F5DAD">
      <w:pPr>
        <w:spacing w:after="0" w:line="240" w:lineRule="auto"/>
        <w:jc w:val="both"/>
        <w:rPr>
          <w:rFonts w:ascii="Times New Roman" w:eastAsia="Arial" w:hAnsi="Times New Roman"/>
          <w:sz w:val="26"/>
          <w:szCs w:val="26"/>
        </w:rPr>
      </w:pPr>
    </w:p>
    <w:p w:rsidR="009F5DAD" w:rsidRPr="00503874" w:rsidRDefault="009F5DAD" w:rsidP="009F5DAD">
      <w:pPr>
        <w:spacing w:after="0" w:line="240" w:lineRule="auto"/>
        <w:jc w:val="both"/>
        <w:rPr>
          <w:rFonts w:ascii="Times New Roman" w:eastAsia="Arial" w:hAnsi="Times New Roman" w:cs="Times New Roman"/>
          <w:sz w:val="26"/>
          <w:szCs w:val="26"/>
        </w:rPr>
      </w:pPr>
      <w:r w:rsidRPr="00503874">
        <w:rPr>
          <w:rFonts w:ascii="Times New Roman" w:eastAsia="Arial" w:hAnsi="Times New Roman"/>
          <w:sz w:val="26"/>
          <w:szCs w:val="26"/>
        </w:rPr>
        <w:t xml:space="preserve">The substantive elements of this instruction are taken from </w:t>
      </w:r>
      <w:r w:rsidRPr="00BF5F65">
        <w:rPr>
          <w:rFonts w:ascii="Times New Roman" w:eastAsia="Arial" w:hAnsi="Times New Roman"/>
          <w:i/>
          <w:sz w:val="26"/>
          <w:szCs w:val="26"/>
        </w:rPr>
        <w:t>United States v. Deleveaux</w:t>
      </w:r>
      <w:r w:rsidRPr="00503874">
        <w:rPr>
          <w:rFonts w:ascii="Times New Roman" w:eastAsia="Arial" w:hAnsi="Times New Roman"/>
          <w:sz w:val="26"/>
          <w:szCs w:val="26"/>
        </w:rPr>
        <w:t>, 205 F.3d 1292 (11</w:t>
      </w:r>
      <w:r w:rsidRPr="00503874">
        <w:rPr>
          <w:rFonts w:ascii="Times New Roman" w:eastAsia="Arial" w:hAnsi="Times New Roman"/>
          <w:sz w:val="26"/>
          <w:szCs w:val="26"/>
          <w:vertAlign w:val="superscript"/>
        </w:rPr>
        <w:t>th</w:t>
      </w:r>
      <w:r w:rsidRPr="00503874">
        <w:rPr>
          <w:rFonts w:ascii="Times New Roman" w:eastAsia="Arial" w:hAnsi="Times New Roman"/>
          <w:sz w:val="26"/>
          <w:szCs w:val="26"/>
        </w:rPr>
        <w:t xml:space="preserve"> Cir. 2000), </w:t>
      </w:r>
      <w:r w:rsidRPr="00BF5F65">
        <w:rPr>
          <w:rFonts w:ascii="Times New Roman" w:eastAsia="Arial" w:hAnsi="Times New Roman"/>
          <w:i/>
          <w:sz w:val="26"/>
          <w:szCs w:val="26"/>
        </w:rPr>
        <w:t>cert. denied</w:t>
      </w:r>
      <w:r w:rsidRPr="00503874">
        <w:rPr>
          <w:rFonts w:ascii="Times New Roman" w:eastAsia="Arial" w:hAnsi="Times New Roman"/>
          <w:sz w:val="26"/>
          <w:szCs w:val="26"/>
        </w:rPr>
        <w:t xml:space="preserve">, 530 U.S. 1264, 120 S. Ct. 2724 (2000). The Court of Appeals reiterated the requirements of the defense in </w:t>
      </w:r>
      <w:r w:rsidRPr="00BF5F65">
        <w:rPr>
          <w:rFonts w:ascii="Times New Roman" w:eastAsia="Arial" w:hAnsi="Times New Roman"/>
          <w:i/>
          <w:sz w:val="26"/>
          <w:szCs w:val="26"/>
        </w:rPr>
        <w:t>United States v. Harmon</w:t>
      </w:r>
      <w:r w:rsidRPr="00503874">
        <w:rPr>
          <w:rFonts w:ascii="Times New Roman" w:eastAsia="Arial" w:hAnsi="Times New Roman"/>
          <w:sz w:val="26"/>
          <w:szCs w:val="26"/>
        </w:rPr>
        <w:t>, 213 Fed.</w:t>
      </w:r>
      <w:r>
        <w:rPr>
          <w:rFonts w:ascii="Times New Roman" w:eastAsia="Arial" w:hAnsi="Times New Roman"/>
          <w:sz w:val="26"/>
          <w:szCs w:val="26"/>
        </w:rPr>
        <w:t xml:space="preserve"> </w:t>
      </w:r>
      <w:r w:rsidRPr="00503874">
        <w:rPr>
          <w:rFonts w:ascii="Times New Roman" w:eastAsia="Arial" w:hAnsi="Times New Roman"/>
          <w:sz w:val="26"/>
          <w:szCs w:val="26"/>
        </w:rPr>
        <w:t>Appx. 914, 916 (11</w:t>
      </w:r>
      <w:r w:rsidRPr="00503874">
        <w:rPr>
          <w:rFonts w:ascii="Times New Roman" w:eastAsia="Arial" w:hAnsi="Times New Roman"/>
          <w:sz w:val="26"/>
          <w:szCs w:val="26"/>
          <w:vertAlign w:val="superscript"/>
        </w:rPr>
        <w:t>th</w:t>
      </w:r>
      <w:r w:rsidRPr="00503874">
        <w:rPr>
          <w:rFonts w:ascii="Times New Roman" w:eastAsia="Arial" w:hAnsi="Times New Roman"/>
          <w:sz w:val="26"/>
          <w:szCs w:val="26"/>
        </w:rPr>
        <w:t xml:space="preserve"> Cir. 2007) (unpublished) (citing </w:t>
      </w:r>
      <w:r w:rsidRPr="00BF5F65">
        <w:rPr>
          <w:rFonts w:ascii="Times New Roman" w:eastAsia="Arial" w:hAnsi="Times New Roman"/>
          <w:i/>
          <w:sz w:val="26"/>
          <w:szCs w:val="26"/>
        </w:rPr>
        <w:t>Deleveaux</w:t>
      </w:r>
      <w:r w:rsidRPr="00503874">
        <w:rPr>
          <w:rFonts w:ascii="Times New Roman" w:eastAsia="Arial" w:hAnsi="Times New Roman"/>
          <w:sz w:val="26"/>
          <w:szCs w:val="26"/>
        </w:rPr>
        <w:t xml:space="preserve">, 205 F.3d at 1297). The instruction also is based in part on Modern Federal Jury Instructions – Criminal </w:t>
      </w:r>
      <w:r w:rsidRPr="00503874">
        <w:rPr>
          <w:rFonts w:ascii="Times New Roman" w:eastAsia="Arial" w:hAnsi="Times New Roman" w:cs="Times New Roman"/>
          <w:sz w:val="26"/>
          <w:szCs w:val="26"/>
        </w:rPr>
        <w:t xml:space="preserve">§ 8.06 (2008), which was revised following the Supreme Court’s decision in </w:t>
      </w:r>
      <w:r w:rsidRPr="00BF5F65">
        <w:rPr>
          <w:rFonts w:ascii="Times New Roman" w:eastAsia="Arial" w:hAnsi="Times New Roman" w:cs="Times New Roman"/>
          <w:i/>
          <w:sz w:val="26"/>
          <w:szCs w:val="26"/>
        </w:rPr>
        <w:t>Dixon v. United States</w:t>
      </w:r>
      <w:r w:rsidRPr="00503874">
        <w:rPr>
          <w:rFonts w:ascii="Times New Roman" w:eastAsia="Arial" w:hAnsi="Times New Roman" w:cs="Times New Roman"/>
          <w:sz w:val="26"/>
          <w:szCs w:val="26"/>
        </w:rPr>
        <w:t>, 548 U.S. 1, 126 S. Ct. 2437 (2006).</w:t>
      </w:r>
    </w:p>
    <w:p w:rsidR="009F5DAD" w:rsidRPr="00503874" w:rsidRDefault="009F5DAD" w:rsidP="009F5DAD">
      <w:pPr>
        <w:spacing w:after="0" w:line="240" w:lineRule="auto"/>
        <w:jc w:val="both"/>
        <w:rPr>
          <w:rFonts w:ascii="Times New Roman" w:eastAsia="Arial" w:hAnsi="Times New Roman" w:cs="Times New Roman"/>
          <w:sz w:val="26"/>
          <w:szCs w:val="26"/>
        </w:rPr>
      </w:pPr>
    </w:p>
    <w:p w:rsidR="009F5DAD" w:rsidRPr="00503874" w:rsidRDefault="009F5DAD" w:rsidP="009F5DAD">
      <w:pPr>
        <w:spacing w:after="0" w:line="240" w:lineRule="auto"/>
        <w:jc w:val="both"/>
        <w:rPr>
          <w:rFonts w:ascii="Times New Roman" w:eastAsia="Arial" w:hAnsi="Times New Roman" w:cs="Times New Roman"/>
          <w:sz w:val="26"/>
          <w:szCs w:val="26"/>
        </w:rPr>
      </w:pPr>
      <w:r w:rsidRPr="00BF5F65">
        <w:rPr>
          <w:rFonts w:ascii="Times New Roman" w:eastAsia="Arial" w:hAnsi="Times New Roman"/>
          <w:sz w:val="26"/>
          <w:szCs w:val="26"/>
          <w:u w:val="single"/>
        </w:rPr>
        <w:t>Dixon</w:t>
      </w:r>
      <w:r w:rsidRPr="00503874">
        <w:rPr>
          <w:rFonts w:ascii="Times New Roman" w:eastAsia="Arial" w:hAnsi="Times New Roman"/>
          <w:sz w:val="26"/>
          <w:szCs w:val="26"/>
        </w:rPr>
        <w:t xml:space="preserve"> resolved a split among the circuits regarding which party bears the burden of persuasion for a duress defense. In </w:t>
      </w:r>
      <w:r w:rsidRPr="00BF5F65">
        <w:rPr>
          <w:rFonts w:ascii="Times New Roman" w:eastAsia="Arial" w:hAnsi="Times New Roman"/>
          <w:i/>
          <w:sz w:val="26"/>
          <w:szCs w:val="26"/>
        </w:rPr>
        <w:t>Dixon</w:t>
      </w:r>
      <w:r w:rsidRPr="00503874">
        <w:rPr>
          <w:rFonts w:ascii="Times New Roman" w:eastAsia="Arial" w:hAnsi="Times New Roman"/>
          <w:sz w:val="26"/>
          <w:szCs w:val="26"/>
        </w:rPr>
        <w:t xml:space="preserve">, the defendant was charged with receiving a firearm while under indictment in violation of 18 U.S.C. </w:t>
      </w:r>
      <w:r w:rsidRPr="00503874">
        <w:rPr>
          <w:rFonts w:ascii="Times New Roman" w:eastAsia="Arial" w:hAnsi="Times New Roman" w:cs="Times New Roman"/>
          <w:sz w:val="26"/>
          <w:szCs w:val="26"/>
        </w:rPr>
        <w:t>§ 922</w:t>
      </w:r>
      <w:r w:rsidR="00CF4DB8">
        <w:rPr>
          <w:rFonts w:ascii="Times New Roman" w:eastAsia="Arial" w:hAnsi="Times New Roman" w:cs="Times New Roman"/>
          <w:sz w:val="26"/>
          <w:szCs w:val="26"/>
        </w:rPr>
        <w:fldChar w:fldCharType="begin"/>
      </w:r>
      <w:r w:rsidR="00CF4DB8">
        <w:rPr>
          <w:rFonts w:ascii="Times New Roman" w:eastAsia="Arial" w:hAnsi="Times New Roman" w:cs="Times New Roman"/>
          <w:sz w:val="26"/>
          <w:szCs w:val="26"/>
        </w:rPr>
        <w:instrText xml:space="preserve"> LISTNUM  NumberDefault \l 5 \s 14 </w:instrText>
      </w:r>
      <w:r w:rsidR="00CF4DB8">
        <w:rPr>
          <w:rFonts w:ascii="Times New Roman" w:eastAsia="Arial" w:hAnsi="Times New Roman" w:cs="Times New Roman"/>
          <w:sz w:val="26"/>
          <w:szCs w:val="26"/>
        </w:rPr>
        <w:fldChar w:fldCharType="end"/>
      </w:r>
      <w:r w:rsidRPr="00503874">
        <w:rPr>
          <w:rFonts w:ascii="Times New Roman" w:eastAsia="Arial" w:hAnsi="Times New Roman" w:cs="Times New Roman"/>
          <w:sz w:val="26"/>
          <w:szCs w:val="26"/>
        </w:rPr>
        <w:t xml:space="preserve"> and with making false statements in connection with the acquisition of a firearm in violation of § 922</w:t>
      </w:r>
      <w:r w:rsidR="00CF4DB8">
        <w:rPr>
          <w:rFonts w:ascii="Times New Roman" w:eastAsia="Arial" w:hAnsi="Times New Roman" w:cs="Times New Roman"/>
          <w:sz w:val="26"/>
          <w:szCs w:val="26"/>
        </w:rPr>
        <w:fldChar w:fldCharType="begin"/>
      </w:r>
      <w:r w:rsidR="00CF4DB8">
        <w:rPr>
          <w:rFonts w:ascii="Times New Roman" w:eastAsia="Arial" w:hAnsi="Times New Roman" w:cs="Times New Roman"/>
          <w:sz w:val="26"/>
          <w:szCs w:val="26"/>
        </w:rPr>
        <w:instrText xml:space="preserve"> LISTNUM  NumberDefault \l 5 \s 1 </w:instrText>
      </w:r>
      <w:r w:rsidR="00CF4DB8">
        <w:rPr>
          <w:rFonts w:ascii="Times New Roman" w:eastAsia="Arial" w:hAnsi="Times New Roman" w:cs="Times New Roman"/>
          <w:sz w:val="26"/>
          <w:szCs w:val="26"/>
        </w:rPr>
        <w:fldChar w:fldCharType="end"/>
      </w:r>
      <w:r w:rsidR="00CF4DB8">
        <w:rPr>
          <w:rFonts w:ascii="Times New Roman" w:eastAsia="Arial" w:hAnsi="Times New Roman" w:cs="Times New Roman"/>
          <w:sz w:val="26"/>
          <w:szCs w:val="26"/>
        </w:rPr>
        <w:fldChar w:fldCharType="begin"/>
      </w:r>
      <w:r w:rsidR="00CF4DB8">
        <w:rPr>
          <w:rFonts w:ascii="Times New Roman" w:eastAsia="Arial" w:hAnsi="Times New Roman" w:cs="Times New Roman"/>
          <w:sz w:val="26"/>
          <w:szCs w:val="26"/>
        </w:rPr>
        <w:instrText xml:space="preserve"> LISTNUM  NumberDefault \l 4 \s 6 </w:instrText>
      </w:r>
      <w:r w:rsidR="00CF4DB8">
        <w:rPr>
          <w:rFonts w:ascii="Times New Roman" w:eastAsia="Arial" w:hAnsi="Times New Roman" w:cs="Times New Roman"/>
          <w:sz w:val="26"/>
          <w:szCs w:val="26"/>
        </w:rPr>
        <w:fldChar w:fldCharType="end"/>
      </w:r>
      <w:r w:rsidR="00CF4DB8">
        <w:rPr>
          <w:rFonts w:ascii="Times New Roman" w:eastAsia="Arial" w:hAnsi="Times New Roman" w:cs="Times New Roman"/>
          <w:sz w:val="26"/>
          <w:szCs w:val="26"/>
        </w:rPr>
        <w:t xml:space="preserve">. The Supreme Court held that </w:t>
      </w:r>
      <w:r w:rsidR="00CF4DB8">
        <w:rPr>
          <w:rFonts w:ascii="Times New Roman" w:eastAsia="Arial" w:hAnsi="Times New Roman" w:cs="Times New Roman"/>
          <w:sz w:val="26"/>
          <w:szCs w:val="26"/>
        </w:rPr>
        <w:fldChar w:fldCharType="begin"/>
      </w:r>
      <w:r w:rsidR="00CF4DB8">
        <w:rPr>
          <w:rFonts w:ascii="Times New Roman" w:eastAsia="Arial" w:hAnsi="Times New Roman" w:cs="Times New Roman"/>
          <w:sz w:val="26"/>
          <w:szCs w:val="26"/>
        </w:rPr>
        <w:instrText xml:space="preserve"> LISTNUM  NumberDefault \l 4 \s 1 </w:instrText>
      </w:r>
      <w:r w:rsidR="00CF4DB8">
        <w:rPr>
          <w:rFonts w:ascii="Times New Roman" w:eastAsia="Arial" w:hAnsi="Times New Roman" w:cs="Times New Roman"/>
          <w:sz w:val="26"/>
          <w:szCs w:val="26"/>
        </w:rPr>
        <w:fldChar w:fldCharType="end"/>
      </w:r>
      <w:r w:rsidR="00CF4DB8">
        <w:rPr>
          <w:rFonts w:ascii="Times New Roman" w:eastAsia="Arial" w:hAnsi="Times New Roman" w:cs="Times New Roman"/>
          <w:sz w:val="26"/>
          <w:szCs w:val="26"/>
        </w:rPr>
        <w:t xml:space="preserve"> </w:t>
      </w:r>
      <w:r w:rsidRPr="00503874">
        <w:rPr>
          <w:rFonts w:ascii="Times New Roman" w:eastAsia="Arial" w:hAnsi="Times New Roman" w:cs="Times New Roman"/>
          <w:sz w:val="26"/>
          <w:szCs w:val="26"/>
        </w:rPr>
        <w:t xml:space="preserve">the jury instructions given “did not run afoul of the Due Process Clause when they placed the burden on petitioner to establish the existence of duress by a preponderance of the evidence,” and </w:t>
      </w:r>
      <w:r w:rsidR="00CF4DB8">
        <w:rPr>
          <w:rFonts w:ascii="Times New Roman" w:eastAsia="Arial" w:hAnsi="Times New Roman" w:cs="Times New Roman"/>
          <w:sz w:val="26"/>
          <w:szCs w:val="26"/>
        </w:rPr>
        <w:fldChar w:fldCharType="begin"/>
      </w:r>
      <w:r w:rsidR="00CF4DB8">
        <w:rPr>
          <w:rFonts w:ascii="Times New Roman" w:eastAsia="Arial" w:hAnsi="Times New Roman" w:cs="Times New Roman"/>
          <w:sz w:val="26"/>
          <w:szCs w:val="26"/>
        </w:rPr>
        <w:instrText xml:space="preserve"> LISTNUM  NumberDefault \l 4 \s 2 </w:instrText>
      </w:r>
      <w:r w:rsidR="00CF4DB8">
        <w:rPr>
          <w:rFonts w:ascii="Times New Roman" w:eastAsia="Arial" w:hAnsi="Times New Roman" w:cs="Times New Roman"/>
          <w:sz w:val="26"/>
          <w:szCs w:val="26"/>
        </w:rPr>
        <w:fldChar w:fldCharType="end"/>
      </w:r>
      <w:r w:rsidRPr="00503874">
        <w:rPr>
          <w:rFonts w:ascii="Times New Roman" w:eastAsia="Arial" w:hAnsi="Times New Roman" w:cs="Times New Roman"/>
          <w:sz w:val="26"/>
          <w:szCs w:val="26"/>
        </w:rPr>
        <w:t xml:space="preserve"> under modern law, in the context of the firearms offenses at issue, duress is an affirmative defense that does not require the government to bear the burden of disproving the defendant’s defense beyond a reasonable doubt. </w:t>
      </w:r>
      <w:r w:rsidRPr="00BF5F65">
        <w:rPr>
          <w:rFonts w:ascii="Times New Roman" w:eastAsia="Arial" w:hAnsi="Times New Roman" w:cs="Times New Roman"/>
          <w:i/>
          <w:sz w:val="26"/>
          <w:szCs w:val="26"/>
        </w:rPr>
        <w:t>See Dixon</w:t>
      </w:r>
      <w:r w:rsidRPr="00503874">
        <w:rPr>
          <w:rFonts w:ascii="Times New Roman" w:eastAsia="Arial" w:hAnsi="Times New Roman" w:cs="Times New Roman"/>
          <w:sz w:val="26"/>
          <w:szCs w:val="26"/>
        </w:rPr>
        <w:t>, 548 U.S. at 6-8, 15-17, 126 S. Ct. at 2442, 2447-48. Accordingly, the above instruction clearly reflects that the Government bears the burden of proving beyond a reasonable doubt each element of the offense, and if the jury finds that the Government has met its burden, then a defendant who seeks to use the justification defense must prove the affirmative defense by a preponderance of the evidence.</w:t>
      </w:r>
    </w:p>
    <w:p w:rsidR="009F5DAD" w:rsidRPr="00503874" w:rsidRDefault="009F5DAD" w:rsidP="009F5DAD">
      <w:pPr>
        <w:spacing w:after="0" w:line="240" w:lineRule="auto"/>
        <w:jc w:val="both"/>
        <w:rPr>
          <w:rFonts w:ascii="Times New Roman" w:eastAsia="Arial" w:hAnsi="Times New Roman" w:cs="Times New Roman"/>
          <w:sz w:val="26"/>
          <w:szCs w:val="26"/>
        </w:rPr>
      </w:pPr>
    </w:p>
    <w:p w:rsidR="009F5DAD" w:rsidRPr="00503874" w:rsidRDefault="009F5DAD" w:rsidP="009F5DAD">
      <w:pPr>
        <w:spacing w:after="0" w:line="240" w:lineRule="auto"/>
        <w:jc w:val="both"/>
        <w:rPr>
          <w:rFonts w:ascii="Times New Roman" w:eastAsia="Arial" w:hAnsi="Times New Roman" w:cs="Times New Roman"/>
          <w:sz w:val="26"/>
          <w:szCs w:val="26"/>
        </w:rPr>
      </w:pPr>
      <w:r w:rsidRPr="00503874">
        <w:rPr>
          <w:rFonts w:ascii="Times New Roman" w:eastAsia="Arial" w:hAnsi="Times New Roman"/>
          <w:sz w:val="26"/>
          <w:szCs w:val="26"/>
        </w:rPr>
        <w:t xml:space="preserve">In </w:t>
      </w:r>
      <w:r w:rsidRPr="00BF5F65">
        <w:rPr>
          <w:rFonts w:ascii="Times New Roman" w:eastAsia="Arial" w:hAnsi="Times New Roman"/>
          <w:i/>
          <w:sz w:val="26"/>
          <w:szCs w:val="26"/>
        </w:rPr>
        <w:t>Deleveaux</w:t>
      </w:r>
      <w:r w:rsidRPr="00503874">
        <w:rPr>
          <w:rFonts w:ascii="Times New Roman" w:eastAsia="Arial" w:hAnsi="Times New Roman"/>
          <w:sz w:val="26"/>
          <w:szCs w:val="26"/>
        </w:rPr>
        <w:t xml:space="preserve"> the Court of Appeals cautioned that this defense is available in only “extraordinary circumstances” (205 F.3d at 1297), and the holding was expressly limited to prosecutions under 18 U.S.C. </w:t>
      </w:r>
      <w:r w:rsidRPr="00503874">
        <w:rPr>
          <w:rFonts w:ascii="Times New Roman" w:eastAsia="Arial" w:hAnsi="Times New Roman" w:cs="Times New Roman"/>
          <w:sz w:val="26"/>
          <w:szCs w:val="26"/>
        </w:rPr>
        <w:t>§ 922</w:t>
      </w:r>
      <w:r w:rsidR="00CF4DB8">
        <w:rPr>
          <w:rFonts w:ascii="Times New Roman" w:eastAsia="Arial" w:hAnsi="Times New Roman" w:cs="Times New Roman"/>
          <w:sz w:val="26"/>
          <w:szCs w:val="26"/>
        </w:rPr>
        <w:fldChar w:fldCharType="begin"/>
      </w:r>
      <w:r w:rsidR="00CF4DB8">
        <w:rPr>
          <w:rFonts w:ascii="Times New Roman" w:eastAsia="Arial" w:hAnsi="Times New Roman" w:cs="Times New Roman"/>
          <w:sz w:val="26"/>
          <w:szCs w:val="26"/>
        </w:rPr>
        <w:instrText xml:space="preserve"> LISTNUM  NumberDefault \l 5 \s 7 </w:instrText>
      </w:r>
      <w:r w:rsidR="00CF4DB8">
        <w:rPr>
          <w:rFonts w:ascii="Times New Roman" w:eastAsia="Arial" w:hAnsi="Times New Roman" w:cs="Times New Roman"/>
          <w:sz w:val="26"/>
          <w:szCs w:val="26"/>
        </w:rPr>
        <w:fldChar w:fldCharType="end"/>
      </w:r>
      <w:r w:rsidR="00CF4DB8">
        <w:rPr>
          <w:rFonts w:ascii="Times New Roman" w:eastAsia="Arial" w:hAnsi="Times New Roman" w:cs="Times New Roman"/>
          <w:sz w:val="26"/>
          <w:szCs w:val="26"/>
        </w:rPr>
        <w:fldChar w:fldCharType="begin"/>
      </w:r>
      <w:r w:rsidR="00CF4DB8">
        <w:rPr>
          <w:rFonts w:ascii="Times New Roman" w:eastAsia="Arial" w:hAnsi="Times New Roman" w:cs="Times New Roman"/>
          <w:sz w:val="26"/>
          <w:szCs w:val="26"/>
        </w:rPr>
        <w:instrText xml:space="preserve"> LISTNUM  NumberDefault \l 4 \s 1 </w:instrText>
      </w:r>
      <w:r w:rsidR="00CF4DB8">
        <w:rPr>
          <w:rFonts w:ascii="Times New Roman" w:eastAsia="Arial" w:hAnsi="Times New Roman" w:cs="Times New Roman"/>
          <w:sz w:val="26"/>
          <w:szCs w:val="26"/>
        </w:rPr>
        <w:fldChar w:fldCharType="end"/>
      </w:r>
      <w:r w:rsidRPr="00503874">
        <w:rPr>
          <w:rFonts w:ascii="Times New Roman" w:eastAsia="Arial" w:hAnsi="Times New Roman" w:cs="Times New Roman"/>
          <w:sz w:val="26"/>
          <w:szCs w:val="26"/>
        </w:rPr>
        <w:t xml:space="preserve"> - - felon in possession of a firearm. </w:t>
      </w:r>
      <w:r w:rsidRPr="00BF5F65">
        <w:rPr>
          <w:rFonts w:ascii="Times New Roman" w:eastAsia="Arial" w:hAnsi="Times New Roman" w:cs="Times New Roman"/>
          <w:sz w:val="26"/>
          <w:szCs w:val="26"/>
        </w:rPr>
        <w:t xml:space="preserve">See </w:t>
      </w:r>
      <w:r w:rsidRPr="00503874">
        <w:rPr>
          <w:rFonts w:ascii="Times New Roman" w:eastAsia="Arial" w:hAnsi="Times New Roman" w:cs="Times New Roman"/>
          <w:sz w:val="26"/>
          <w:szCs w:val="26"/>
        </w:rPr>
        <w:t xml:space="preserve">Offense Instruction 34.6, </w:t>
      </w:r>
      <w:r w:rsidRPr="00BF5F65">
        <w:rPr>
          <w:rFonts w:ascii="Times New Roman" w:eastAsia="Arial" w:hAnsi="Times New Roman" w:cs="Times New Roman"/>
          <w:i/>
          <w:sz w:val="26"/>
          <w:szCs w:val="26"/>
        </w:rPr>
        <w:t>infra</w:t>
      </w:r>
      <w:r w:rsidRPr="00503874">
        <w:rPr>
          <w:rFonts w:ascii="Times New Roman" w:eastAsia="Arial" w:hAnsi="Times New Roman" w:cs="Times New Roman"/>
          <w:sz w:val="26"/>
          <w:szCs w:val="26"/>
        </w:rPr>
        <w:t xml:space="preserve">. In </w:t>
      </w:r>
      <w:r w:rsidRPr="00BF5F65">
        <w:rPr>
          <w:rFonts w:ascii="Times New Roman" w:eastAsia="Arial" w:hAnsi="Times New Roman" w:cs="Times New Roman"/>
          <w:i/>
          <w:sz w:val="26"/>
          <w:szCs w:val="26"/>
        </w:rPr>
        <w:t>Harmon</w:t>
      </w:r>
      <w:r w:rsidRPr="00503874">
        <w:rPr>
          <w:rFonts w:ascii="Times New Roman" w:eastAsia="Arial" w:hAnsi="Times New Roman" w:cs="Times New Roman"/>
          <w:sz w:val="26"/>
          <w:szCs w:val="26"/>
        </w:rPr>
        <w:t>, the Court of Appeals noted that “[t]he imminency prong ‘requires nothing less than an immediate emergency.’” 213 Fed.</w:t>
      </w:r>
      <w:r>
        <w:rPr>
          <w:rFonts w:ascii="Times New Roman" w:eastAsia="Arial" w:hAnsi="Times New Roman" w:cs="Times New Roman"/>
          <w:sz w:val="26"/>
          <w:szCs w:val="26"/>
        </w:rPr>
        <w:t xml:space="preserve"> </w:t>
      </w:r>
      <w:r w:rsidRPr="00503874">
        <w:rPr>
          <w:rFonts w:ascii="Times New Roman" w:eastAsia="Arial" w:hAnsi="Times New Roman" w:cs="Times New Roman"/>
          <w:sz w:val="26"/>
          <w:szCs w:val="26"/>
        </w:rPr>
        <w:t xml:space="preserve">Appx. at 916 (citing </w:t>
      </w:r>
      <w:r w:rsidRPr="00BF5F65">
        <w:rPr>
          <w:rFonts w:ascii="Times New Roman" w:eastAsia="Arial" w:hAnsi="Times New Roman" w:cs="Times New Roman"/>
          <w:i/>
          <w:sz w:val="26"/>
          <w:szCs w:val="26"/>
        </w:rPr>
        <w:t>United States v. Bell</w:t>
      </w:r>
      <w:r w:rsidRPr="00503874">
        <w:rPr>
          <w:rFonts w:ascii="Times New Roman" w:eastAsia="Arial" w:hAnsi="Times New Roman" w:cs="Times New Roman"/>
          <w:sz w:val="26"/>
          <w:szCs w:val="26"/>
        </w:rPr>
        <w:t>, 214 F.3d 1299, 1300 (11</w:t>
      </w:r>
      <w:r w:rsidRPr="00503874">
        <w:rPr>
          <w:rFonts w:ascii="Times New Roman" w:eastAsia="Arial" w:hAnsi="Times New Roman" w:cs="Times New Roman"/>
          <w:sz w:val="26"/>
          <w:szCs w:val="26"/>
          <w:vertAlign w:val="superscript"/>
        </w:rPr>
        <w:t>th</w:t>
      </w:r>
      <w:r w:rsidRPr="00503874">
        <w:rPr>
          <w:rFonts w:ascii="Times New Roman" w:eastAsia="Arial" w:hAnsi="Times New Roman" w:cs="Times New Roman"/>
          <w:sz w:val="26"/>
          <w:szCs w:val="26"/>
        </w:rPr>
        <w:t xml:space="preserve"> Cir. 2000)); </w:t>
      </w:r>
      <w:r w:rsidRPr="00BF5F65">
        <w:rPr>
          <w:rFonts w:ascii="Times New Roman" w:eastAsia="Arial" w:hAnsi="Times New Roman" w:cs="Times New Roman"/>
          <w:i/>
          <w:sz w:val="26"/>
          <w:szCs w:val="26"/>
        </w:rPr>
        <w:t>see also United States v. Rice</w:t>
      </w:r>
      <w:r w:rsidRPr="00503874">
        <w:rPr>
          <w:rFonts w:ascii="Times New Roman" w:eastAsia="Arial" w:hAnsi="Times New Roman" w:cs="Times New Roman"/>
          <w:sz w:val="26"/>
          <w:szCs w:val="26"/>
        </w:rPr>
        <w:t>, 214 F.3d 1295 (11</w:t>
      </w:r>
      <w:r w:rsidRPr="00503874">
        <w:rPr>
          <w:rFonts w:ascii="Times New Roman" w:eastAsia="Arial" w:hAnsi="Times New Roman" w:cs="Times New Roman"/>
          <w:sz w:val="26"/>
          <w:szCs w:val="26"/>
          <w:vertAlign w:val="superscript"/>
        </w:rPr>
        <w:t>th</w:t>
      </w:r>
      <w:r w:rsidRPr="00503874">
        <w:rPr>
          <w:rFonts w:ascii="Times New Roman" w:eastAsia="Arial" w:hAnsi="Times New Roman" w:cs="Times New Roman"/>
          <w:sz w:val="26"/>
          <w:szCs w:val="26"/>
        </w:rPr>
        <w:t xml:space="preserve"> Cir. 2000) (affirming the defendant’s conviction on the ground that the facts proffered were insufficient to establish a justification defense, as the defendant did not face an immediate emergency).</w:t>
      </w:r>
    </w:p>
    <w:p w:rsidR="009F5DAD" w:rsidRPr="00503874" w:rsidRDefault="009F5DAD" w:rsidP="009F5DAD">
      <w:pPr>
        <w:spacing w:after="0" w:line="240" w:lineRule="auto"/>
        <w:jc w:val="both"/>
        <w:rPr>
          <w:rFonts w:ascii="Times New Roman" w:eastAsia="Arial" w:hAnsi="Times New Roman" w:cs="Times New Roman"/>
          <w:sz w:val="26"/>
          <w:szCs w:val="26"/>
        </w:rPr>
      </w:pPr>
    </w:p>
    <w:p w:rsidR="00725167" w:rsidRPr="009F5DAD" w:rsidRDefault="009F5DAD" w:rsidP="009F5DAD">
      <w:pPr>
        <w:spacing w:after="0" w:line="240" w:lineRule="auto"/>
        <w:jc w:val="both"/>
        <w:rPr>
          <w:rFonts w:ascii="Times New Roman" w:eastAsia="Arial" w:hAnsi="Times New Roman"/>
          <w:sz w:val="26"/>
          <w:szCs w:val="26"/>
        </w:rPr>
      </w:pPr>
      <w:r w:rsidRPr="00503874">
        <w:rPr>
          <w:rFonts w:ascii="Times New Roman" w:eastAsia="Arial" w:hAnsi="Times New Roman" w:cs="Times New Roman"/>
          <w:sz w:val="26"/>
          <w:szCs w:val="26"/>
        </w:rPr>
        <w:t xml:space="preserve">The defense of duress or necessity “does not negate a defendant’s criminal state of mind when the applicable offense requires a defendant to have acted knowingly or willfully; instead, it allows the defendant to ‘avoid liability… because coercive conditions or necessity negates a conclusion of guilt even though the necessary </w:t>
      </w:r>
      <w:r w:rsidRPr="00BF5F65">
        <w:rPr>
          <w:rFonts w:ascii="Times New Roman" w:eastAsia="Arial" w:hAnsi="Times New Roman" w:cs="Times New Roman"/>
          <w:i/>
          <w:sz w:val="26"/>
          <w:szCs w:val="26"/>
        </w:rPr>
        <w:t>mens rea</w:t>
      </w:r>
      <w:r w:rsidRPr="00503874">
        <w:rPr>
          <w:rFonts w:ascii="Times New Roman" w:eastAsia="Arial" w:hAnsi="Times New Roman" w:cs="Times New Roman"/>
          <w:sz w:val="26"/>
          <w:szCs w:val="26"/>
        </w:rPr>
        <w:t xml:space="preserve"> was present.” </w:t>
      </w:r>
      <w:r w:rsidRPr="00BF5F65">
        <w:rPr>
          <w:rFonts w:ascii="Times New Roman" w:eastAsia="Arial" w:hAnsi="Times New Roman" w:cs="Times New Roman"/>
          <w:i/>
          <w:sz w:val="26"/>
          <w:szCs w:val="26"/>
        </w:rPr>
        <w:t>Dixon</w:t>
      </w:r>
      <w:r w:rsidRPr="00503874">
        <w:rPr>
          <w:rFonts w:ascii="Times New Roman" w:eastAsia="Arial" w:hAnsi="Times New Roman" w:cs="Times New Roman"/>
          <w:sz w:val="26"/>
          <w:szCs w:val="26"/>
        </w:rPr>
        <w:t xml:space="preserve">, 548 U.S., 1, 7, 126 S. Ct. at 2442 (citing </w:t>
      </w:r>
      <w:r w:rsidRPr="00BF5F65">
        <w:rPr>
          <w:rFonts w:ascii="Times New Roman" w:eastAsia="Arial" w:hAnsi="Times New Roman" w:cs="Times New Roman"/>
          <w:i/>
          <w:sz w:val="26"/>
          <w:szCs w:val="26"/>
        </w:rPr>
        <w:t>United States v. Bailey</w:t>
      </w:r>
      <w:r w:rsidRPr="00503874">
        <w:rPr>
          <w:rFonts w:ascii="Times New Roman" w:eastAsia="Arial" w:hAnsi="Times New Roman" w:cs="Times New Roman"/>
          <w:sz w:val="26"/>
          <w:szCs w:val="26"/>
        </w:rPr>
        <w:t xml:space="preserve">, 444 U.S. 394, 402 100 S. Ct. 624, 631 (1980)). Further, the </w:t>
      </w:r>
      <w:r w:rsidRPr="00BF5F65">
        <w:rPr>
          <w:rFonts w:ascii="Times New Roman" w:eastAsia="Arial" w:hAnsi="Times New Roman" w:cs="Times New Roman"/>
          <w:i/>
          <w:sz w:val="26"/>
          <w:szCs w:val="26"/>
        </w:rPr>
        <w:t>Dixon</w:t>
      </w:r>
      <w:r w:rsidRPr="00503874">
        <w:rPr>
          <w:rFonts w:ascii="Times New Roman" w:eastAsia="Arial" w:hAnsi="Times New Roman" w:cs="Times New Roman"/>
          <w:sz w:val="26"/>
          <w:szCs w:val="26"/>
        </w:rPr>
        <w:t xml:space="preserve"> Court noted that “there may be crimes [such as common-law crimes requiring ‘malice’] where the nature of the </w:t>
      </w:r>
      <w:r w:rsidRPr="00BF5F65">
        <w:rPr>
          <w:rFonts w:ascii="Times New Roman" w:eastAsia="Arial" w:hAnsi="Times New Roman" w:cs="Times New Roman"/>
          <w:i/>
          <w:sz w:val="26"/>
          <w:szCs w:val="26"/>
        </w:rPr>
        <w:t>mens rea</w:t>
      </w:r>
      <w:r w:rsidRPr="00503874">
        <w:rPr>
          <w:rFonts w:ascii="Times New Roman" w:eastAsia="Arial" w:hAnsi="Times New Roman" w:cs="Times New Roman"/>
          <w:sz w:val="26"/>
          <w:szCs w:val="26"/>
        </w:rPr>
        <w:t xml:space="preserve"> would require the Government to disprove the existence of duress beyond a reasonable </w:t>
      </w:r>
      <w:r w:rsidRPr="00503874">
        <w:rPr>
          <w:rFonts w:ascii="Times New Roman" w:eastAsia="Arial" w:hAnsi="Times New Roman" w:cs="Times New Roman"/>
          <w:sz w:val="26"/>
          <w:szCs w:val="26"/>
        </w:rPr>
        <w:lastRenderedPageBreak/>
        <w:t xml:space="preserve">doubt. </w:t>
      </w:r>
      <w:r w:rsidRPr="00BF5F65">
        <w:rPr>
          <w:rFonts w:ascii="Times New Roman" w:eastAsia="Arial" w:hAnsi="Times New Roman" w:cs="Times New Roman"/>
          <w:i/>
          <w:sz w:val="26"/>
          <w:szCs w:val="26"/>
        </w:rPr>
        <w:t>Id</w:t>
      </w:r>
      <w:r w:rsidRPr="00503874">
        <w:rPr>
          <w:rFonts w:ascii="Times New Roman" w:eastAsia="Arial" w:hAnsi="Times New Roman" w:cs="Times New Roman"/>
          <w:sz w:val="26"/>
          <w:szCs w:val="26"/>
        </w:rPr>
        <w:t xml:space="preserve">. at 2442 n.4. </w:t>
      </w:r>
      <w:r w:rsidRPr="00BF5F65">
        <w:rPr>
          <w:rFonts w:ascii="Times New Roman" w:eastAsia="Arial" w:hAnsi="Times New Roman" w:cs="Times New Roman"/>
          <w:i/>
          <w:sz w:val="26"/>
          <w:szCs w:val="26"/>
        </w:rPr>
        <w:t>Bailey</w:t>
      </w:r>
      <w:r w:rsidRPr="00503874">
        <w:rPr>
          <w:rFonts w:ascii="Times New Roman" w:eastAsia="Arial" w:hAnsi="Times New Roman" w:cs="Times New Roman"/>
          <w:sz w:val="26"/>
          <w:szCs w:val="26"/>
        </w:rPr>
        <w:t xml:space="preserve"> discusses the common law distinction between coercion/duress and necessity/justification, observing: “While the defense of duress covered the situation where the coercion had its source in the actions of other human beings, the defense of necessity, or choice of evils, traditionally covered the situation where physical forces beyond the actor’s control rendered illegal conduct the lesser of two evils.” </w:t>
      </w:r>
      <w:r w:rsidRPr="00BF5F65">
        <w:rPr>
          <w:rFonts w:ascii="Times New Roman" w:eastAsia="Arial" w:hAnsi="Times New Roman" w:cs="Times New Roman"/>
          <w:i/>
          <w:sz w:val="26"/>
          <w:szCs w:val="26"/>
        </w:rPr>
        <w:t>Bailey</w:t>
      </w:r>
      <w:r w:rsidRPr="00503874">
        <w:rPr>
          <w:rFonts w:ascii="Times New Roman" w:eastAsia="Arial" w:hAnsi="Times New Roman" w:cs="Times New Roman"/>
          <w:sz w:val="26"/>
          <w:szCs w:val="26"/>
        </w:rPr>
        <w:t xml:space="preserve">, 444 U.S. at 409, 100 S. Ct. at 634. However, the Supreme Court noted that, [m]odern cases have tended to blur the distinction…” </w:t>
      </w:r>
      <w:r w:rsidRPr="00BF5F65">
        <w:rPr>
          <w:rFonts w:ascii="Times New Roman" w:eastAsia="Arial" w:hAnsi="Times New Roman" w:cs="Times New Roman"/>
          <w:i/>
          <w:sz w:val="26"/>
          <w:szCs w:val="26"/>
        </w:rPr>
        <w:t>Id</w:t>
      </w:r>
      <w:r w:rsidRPr="00503874">
        <w:rPr>
          <w:rFonts w:ascii="Times New Roman" w:eastAsia="Arial" w:hAnsi="Times New Roman" w:cs="Times New Roman"/>
          <w:sz w:val="26"/>
          <w:szCs w:val="26"/>
        </w:rPr>
        <w:t>.</w:t>
      </w:r>
    </w:p>
    <w:p w:rsidR="00CF4DB8" w:rsidRPr="009F5DAD" w:rsidRDefault="00CF4DB8">
      <w:pPr>
        <w:spacing w:after="0" w:line="240" w:lineRule="auto"/>
        <w:jc w:val="both"/>
        <w:rPr>
          <w:rFonts w:ascii="Times New Roman" w:eastAsia="Arial" w:hAnsi="Times New Roman"/>
          <w:sz w:val="26"/>
          <w:szCs w:val="26"/>
        </w:rPr>
      </w:pPr>
    </w:p>
    <w:sectPr w:rsidR="00CF4DB8" w:rsidRPr="009F5DA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2E59" w:rsidRDefault="00922E59" w:rsidP="00922E59">
      <w:pPr>
        <w:spacing w:after="0" w:line="240" w:lineRule="auto"/>
      </w:pPr>
      <w:r>
        <w:separator/>
      </w:r>
    </w:p>
  </w:endnote>
  <w:endnote w:type="continuationSeparator" w:id="0">
    <w:p w:rsidR="00922E59" w:rsidRDefault="00922E59" w:rsidP="00922E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2E59" w:rsidRDefault="00922E59" w:rsidP="00922E59">
      <w:pPr>
        <w:spacing w:after="0" w:line="240" w:lineRule="auto"/>
      </w:pPr>
      <w:r>
        <w:separator/>
      </w:r>
    </w:p>
  </w:footnote>
  <w:footnote w:type="continuationSeparator" w:id="0">
    <w:p w:rsidR="00922E59" w:rsidRDefault="00922E59" w:rsidP="00922E5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E82"/>
    <w:rsid w:val="00014B03"/>
    <w:rsid w:val="0003583F"/>
    <w:rsid w:val="00091548"/>
    <w:rsid w:val="000C32C1"/>
    <w:rsid w:val="00135397"/>
    <w:rsid w:val="00157747"/>
    <w:rsid w:val="00194E82"/>
    <w:rsid w:val="001E5B53"/>
    <w:rsid w:val="002604B9"/>
    <w:rsid w:val="003067A0"/>
    <w:rsid w:val="004C148A"/>
    <w:rsid w:val="00511CE4"/>
    <w:rsid w:val="0056064A"/>
    <w:rsid w:val="005C4DB9"/>
    <w:rsid w:val="00615301"/>
    <w:rsid w:val="006179FB"/>
    <w:rsid w:val="00632C46"/>
    <w:rsid w:val="00725167"/>
    <w:rsid w:val="00780FDD"/>
    <w:rsid w:val="00783A2A"/>
    <w:rsid w:val="007D742E"/>
    <w:rsid w:val="0081575C"/>
    <w:rsid w:val="008B4118"/>
    <w:rsid w:val="008E4BA2"/>
    <w:rsid w:val="00922E59"/>
    <w:rsid w:val="009458BA"/>
    <w:rsid w:val="009F5DAD"/>
    <w:rsid w:val="00A355FD"/>
    <w:rsid w:val="00A66EA6"/>
    <w:rsid w:val="00AA01A6"/>
    <w:rsid w:val="00AC24E2"/>
    <w:rsid w:val="00AE20D4"/>
    <w:rsid w:val="00AF2C77"/>
    <w:rsid w:val="00B77821"/>
    <w:rsid w:val="00B85D99"/>
    <w:rsid w:val="00B930F5"/>
    <w:rsid w:val="00BA1F2B"/>
    <w:rsid w:val="00BE645C"/>
    <w:rsid w:val="00BF5F65"/>
    <w:rsid w:val="00CD51F7"/>
    <w:rsid w:val="00CD734E"/>
    <w:rsid w:val="00CE7DC5"/>
    <w:rsid w:val="00CF4DB8"/>
    <w:rsid w:val="00CF4F9A"/>
    <w:rsid w:val="00D163A7"/>
    <w:rsid w:val="00D7262F"/>
    <w:rsid w:val="00DA00D9"/>
    <w:rsid w:val="00DC18AE"/>
    <w:rsid w:val="00DE7E97"/>
    <w:rsid w:val="00E31401"/>
    <w:rsid w:val="00E42DFC"/>
    <w:rsid w:val="00E627E0"/>
    <w:rsid w:val="00E85563"/>
    <w:rsid w:val="00EB1384"/>
    <w:rsid w:val="00F27B7F"/>
    <w:rsid w:val="00FA47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922E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2E59"/>
  </w:style>
  <w:style w:type="paragraph" w:styleId="Footer">
    <w:name w:val="footer"/>
    <w:basedOn w:val="Normal"/>
    <w:link w:val="FooterChar"/>
    <w:uiPriority w:val="99"/>
    <w:unhideWhenUsed/>
    <w:rsid w:val="00922E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2E5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922E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2E59"/>
  </w:style>
  <w:style w:type="paragraph" w:styleId="Footer">
    <w:name w:val="footer"/>
    <w:basedOn w:val="Normal"/>
    <w:link w:val="FooterChar"/>
    <w:uiPriority w:val="99"/>
    <w:unhideWhenUsed/>
    <w:rsid w:val="00922E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2E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607</Words>
  <Characters>3466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2014-03-31T21:16:00Z</dcterms:created>
  <dcterms:modified xsi:type="dcterms:W3CDTF">2014-06-16T21:41:00Z</dcterms:modified>
</cp:coreProperties>
</file>