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EF2" w:rsidRPr="00503874" w:rsidRDefault="00245EF2" w:rsidP="00245EF2">
      <w:pPr>
        <w:spacing w:after="0" w:line="240" w:lineRule="auto"/>
        <w:jc w:val="both"/>
        <w:rPr>
          <w:rFonts w:ascii="Times New Roman" w:eastAsia="Arial" w:hAnsi="Times New Roman"/>
          <w:sz w:val="26"/>
          <w:szCs w:val="26"/>
        </w:rPr>
      </w:pPr>
      <w:bookmarkStart w:id="0" w:name="_GoBack"/>
      <w:bookmarkEnd w:id="0"/>
      <w:r w:rsidRPr="00503874">
        <w:rPr>
          <w:rFonts w:ascii="Times New Roman" w:eastAsia="Arial" w:hAnsi="Times New Roman"/>
          <w:b/>
          <w:sz w:val="26"/>
          <w:szCs w:val="26"/>
          <w:u w:val="single"/>
        </w:rPr>
        <w:t>ANNOTATIONS AND COMMENTS</w:t>
      </w:r>
    </w:p>
    <w:p w:rsidR="00245EF2" w:rsidRPr="00503874" w:rsidRDefault="00245EF2" w:rsidP="00245EF2">
      <w:pPr>
        <w:spacing w:after="0" w:line="240" w:lineRule="auto"/>
        <w:jc w:val="both"/>
        <w:rPr>
          <w:rFonts w:ascii="Times New Roman" w:eastAsia="Arial" w:hAnsi="Times New Roman"/>
          <w:sz w:val="26"/>
          <w:szCs w:val="26"/>
        </w:rPr>
      </w:pPr>
    </w:p>
    <w:p w:rsidR="00725167" w:rsidRPr="00245EF2" w:rsidRDefault="00245EF2" w:rsidP="00245EF2">
      <w:pPr>
        <w:spacing w:after="0" w:line="240" w:lineRule="auto"/>
        <w:jc w:val="both"/>
        <w:rPr>
          <w:rFonts w:ascii="Times New Roman" w:eastAsia="Arial" w:hAnsi="Times New Roman"/>
          <w:sz w:val="26"/>
          <w:szCs w:val="26"/>
        </w:rPr>
      </w:pPr>
      <w:r w:rsidRPr="00975A48">
        <w:rPr>
          <w:rFonts w:ascii="Times New Roman" w:eastAsia="Arial" w:hAnsi="Times New Roman"/>
          <w:i/>
          <w:sz w:val="26"/>
          <w:szCs w:val="26"/>
        </w:rPr>
        <w:t>United States v. Goss</w:t>
      </w:r>
      <w:r w:rsidRPr="00503874">
        <w:rPr>
          <w:rFonts w:ascii="Times New Roman" w:eastAsia="Arial" w:hAnsi="Times New Roman"/>
          <w:sz w:val="26"/>
          <w:szCs w:val="26"/>
        </w:rPr>
        <w:t>, 650 F.2d 1336 (5</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1981), failure to give this instruction as a theory-of-defense charge, when requested to do so, is error if there is any evidentiary foundation to support the Defendant’s claim. Note, however, that there must be some evidentiary basis for the request. If the usual instructions are given defining willfulness and intent to defraud, that will ordinarily suffice in the absence of evidence of good faith. </w:t>
      </w:r>
      <w:r w:rsidRPr="00975A48">
        <w:rPr>
          <w:rFonts w:ascii="Times New Roman" w:eastAsia="Arial" w:hAnsi="Times New Roman"/>
          <w:i/>
          <w:sz w:val="26"/>
          <w:szCs w:val="26"/>
        </w:rPr>
        <w:t>United States v. Boswell</w:t>
      </w:r>
      <w:r w:rsidRPr="00503874">
        <w:rPr>
          <w:rFonts w:ascii="Times New Roman" w:eastAsia="Arial" w:hAnsi="Times New Roman"/>
          <w:sz w:val="26"/>
          <w:szCs w:val="26"/>
        </w:rPr>
        <w:t>, 565 F.2d 1338 (5</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1978), </w:t>
      </w:r>
      <w:r w:rsidRPr="00975A48">
        <w:rPr>
          <w:rFonts w:ascii="Times New Roman" w:eastAsia="Arial" w:hAnsi="Times New Roman"/>
          <w:i/>
          <w:sz w:val="26"/>
          <w:szCs w:val="26"/>
        </w:rPr>
        <w:t>reh’g denied</w:t>
      </w:r>
      <w:r w:rsidRPr="00503874">
        <w:rPr>
          <w:rFonts w:ascii="Times New Roman" w:eastAsia="Arial" w:hAnsi="Times New Roman"/>
          <w:sz w:val="26"/>
          <w:szCs w:val="26"/>
        </w:rPr>
        <w:t>, 568 F.2d 1367 (11</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1978), </w:t>
      </w:r>
      <w:r w:rsidRPr="00975A48">
        <w:rPr>
          <w:rFonts w:ascii="Times New Roman" w:eastAsia="Arial" w:hAnsi="Times New Roman"/>
          <w:i/>
          <w:sz w:val="26"/>
          <w:szCs w:val="26"/>
        </w:rPr>
        <w:t>cert. denied</w:t>
      </w:r>
      <w:r w:rsidRPr="00503874">
        <w:rPr>
          <w:rFonts w:ascii="Times New Roman" w:eastAsia="Arial" w:hAnsi="Times New Roman"/>
          <w:sz w:val="26"/>
          <w:szCs w:val="26"/>
        </w:rPr>
        <w:t>, 439 U.S. 819, 99 S. Ct. 81, 58 L.</w:t>
      </w:r>
      <w:r>
        <w:rPr>
          <w:rFonts w:ascii="Times New Roman" w:eastAsia="Arial" w:hAnsi="Times New Roman"/>
          <w:sz w:val="26"/>
          <w:szCs w:val="26"/>
        </w:rPr>
        <w:t xml:space="preserve"> </w:t>
      </w:r>
      <w:r w:rsidRPr="00503874">
        <w:rPr>
          <w:rFonts w:ascii="Times New Roman" w:eastAsia="Arial" w:hAnsi="Times New Roman"/>
          <w:sz w:val="26"/>
          <w:szCs w:val="26"/>
        </w:rPr>
        <w:t>Ed.</w:t>
      </w:r>
      <w:r>
        <w:rPr>
          <w:rFonts w:ascii="Times New Roman" w:eastAsia="Arial" w:hAnsi="Times New Roman"/>
          <w:sz w:val="26"/>
          <w:szCs w:val="26"/>
        </w:rPr>
        <w:t xml:space="preserve"> </w:t>
      </w:r>
      <w:r w:rsidRPr="00503874">
        <w:rPr>
          <w:rFonts w:ascii="Times New Roman" w:eastAsia="Arial" w:hAnsi="Times New Roman"/>
          <w:sz w:val="26"/>
          <w:szCs w:val="26"/>
        </w:rPr>
        <w:t xml:space="preserve">2d 110 (1978); </w:t>
      </w:r>
      <w:r w:rsidRPr="00975A48">
        <w:rPr>
          <w:rFonts w:ascii="Times New Roman" w:eastAsia="Arial" w:hAnsi="Times New Roman"/>
          <w:i/>
          <w:sz w:val="26"/>
          <w:szCs w:val="26"/>
        </w:rPr>
        <w:t>United States v. England</w:t>
      </w:r>
      <w:r w:rsidRPr="00503874">
        <w:rPr>
          <w:rFonts w:ascii="Times New Roman" w:eastAsia="Arial" w:hAnsi="Times New Roman"/>
          <w:sz w:val="26"/>
          <w:szCs w:val="26"/>
        </w:rPr>
        <w:t>, 480 F.2d 1266 (5</w:t>
      </w:r>
      <w:r w:rsidRPr="00503874">
        <w:rPr>
          <w:rFonts w:ascii="Times New Roman" w:eastAsia="Arial" w:hAnsi="Times New Roman"/>
          <w:sz w:val="26"/>
          <w:szCs w:val="26"/>
          <w:vertAlign w:val="superscript"/>
        </w:rPr>
        <w:t>th</w:t>
      </w:r>
      <w:r w:rsidRPr="00503874">
        <w:rPr>
          <w:rFonts w:ascii="Times New Roman" w:eastAsia="Arial" w:hAnsi="Times New Roman"/>
          <w:sz w:val="26"/>
          <w:szCs w:val="26"/>
        </w:rPr>
        <w:t xml:space="preserve"> Cir. 1973), </w:t>
      </w:r>
      <w:r w:rsidRPr="00975A48">
        <w:rPr>
          <w:rFonts w:ascii="Times New Roman" w:eastAsia="Arial" w:hAnsi="Times New Roman"/>
          <w:i/>
          <w:sz w:val="26"/>
          <w:szCs w:val="26"/>
        </w:rPr>
        <w:t>cert. denied</w:t>
      </w:r>
      <w:r w:rsidRPr="00503874">
        <w:rPr>
          <w:rFonts w:ascii="Times New Roman" w:eastAsia="Arial" w:hAnsi="Times New Roman"/>
          <w:sz w:val="26"/>
          <w:szCs w:val="26"/>
        </w:rPr>
        <w:t>, 414 U.S. 1041, 94 S. Ct. 543, 38 L.</w:t>
      </w:r>
      <w:r>
        <w:rPr>
          <w:rFonts w:ascii="Times New Roman" w:eastAsia="Arial" w:hAnsi="Times New Roman"/>
          <w:sz w:val="26"/>
          <w:szCs w:val="26"/>
        </w:rPr>
        <w:t xml:space="preserve"> </w:t>
      </w:r>
      <w:r w:rsidRPr="00503874">
        <w:rPr>
          <w:rFonts w:ascii="Times New Roman" w:eastAsia="Arial" w:hAnsi="Times New Roman"/>
          <w:sz w:val="26"/>
          <w:szCs w:val="26"/>
        </w:rPr>
        <w:t>Ed.</w:t>
      </w:r>
      <w:r>
        <w:rPr>
          <w:rFonts w:ascii="Times New Roman" w:eastAsia="Arial" w:hAnsi="Times New Roman"/>
          <w:sz w:val="26"/>
          <w:szCs w:val="26"/>
        </w:rPr>
        <w:t xml:space="preserve"> </w:t>
      </w:r>
      <w:r w:rsidRPr="00503874">
        <w:rPr>
          <w:rFonts w:ascii="Times New Roman" w:eastAsia="Arial" w:hAnsi="Times New Roman"/>
          <w:sz w:val="26"/>
          <w:szCs w:val="26"/>
        </w:rPr>
        <w:t xml:space="preserve">2d 332 (1973); </w:t>
      </w:r>
      <w:r w:rsidRPr="00975A48">
        <w:rPr>
          <w:rFonts w:ascii="Times New Roman" w:eastAsia="Arial" w:hAnsi="Times New Roman"/>
          <w:i/>
          <w:sz w:val="26"/>
          <w:szCs w:val="26"/>
        </w:rPr>
        <w:t>United States v. Williams</w:t>
      </w:r>
      <w:r w:rsidRPr="00503874">
        <w:rPr>
          <w:rFonts w:ascii="Times New Roman" w:eastAsia="Arial" w:hAnsi="Times New Roman"/>
          <w:sz w:val="26"/>
          <w:szCs w:val="26"/>
        </w:rPr>
        <w:t>, 728 F.2d 1402 (11</w:t>
      </w:r>
      <w:r w:rsidRPr="00503874">
        <w:rPr>
          <w:rFonts w:ascii="Times New Roman" w:eastAsia="Arial" w:hAnsi="Times New Roman"/>
          <w:sz w:val="26"/>
          <w:szCs w:val="26"/>
          <w:vertAlign w:val="superscript"/>
        </w:rPr>
        <w:t>th</w:t>
      </w:r>
      <w:r>
        <w:rPr>
          <w:rFonts w:ascii="Times New Roman" w:eastAsia="Arial" w:hAnsi="Times New Roman"/>
          <w:sz w:val="26"/>
          <w:szCs w:val="26"/>
        </w:rPr>
        <w:t xml:space="preserve"> Cir. 1984).</w:t>
      </w:r>
    </w:p>
    <w:sectPr w:rsidR="00725167" w:rsidRPr="00245E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4F7" w:rsidRDefault="001A04F7" w:rsidP="001A04F7">
      <w:pPr>
        <w:spacing w:after="0" w:line="240" w:lineRule="auto"/>
      </w:pPr>
      <w:r>
        <w:separator/>
      </w:r>
    </w:p>
  </w:endnote>
  <w:endnote w:type="continuationSeparator" w:id="0">
    <w:p w:rsidR="001A04F7" w:rsidRDefault="001A04F7" w:rsidP="001A0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4F7" w:rsidRDefault="001A04F7" w:rsidP="001A04F7">
      <w:pPr>
        <w:spacing w:after="0" w:line="240" w:lineRule="auto"/>
      </w:pPr>
      <w:r>
        <w:separator/>
      </w:r>
    </w:p>
  </w:footnote>
  <w:footnote w:type="continuationSeparator" w:id="0">
    <w:p w:rsidR="001A04F7" w:rsidRDefault="001A04F7" w:rsidP="001A0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E82"/>
    <w:rsid w:val="00014B03"/>
    <w:rsid w:val="0003583F"/>
    <w:rsid w:val="00091548"/>
    <w:rsid w:val="000C32C1"/>
    <w:rsid w:val="00135397"/>
    <w:rsid w:val="00157747"/>
    <w:rsid w:val="00194E82"/>
    <w:rsid w:val="001A04F7"/>
    <w:rsid w:val="001E5B53"/>
    <w:rsid w:val="00245EF2"/>
    <w:rsid w:val="002604B9"/>
    <w:rsid w:val="003067A0"/>
    <w:rsid w:val="003B34B3"/>
    <w:rsid w:val="004C148A"/>
    <w:rsid w:val="00511CE4"/>
    <w:rsid w:val="0056064A"/>
    <w:rsid w:val="005C4DB9"/>
    <w:rsid w:val="00615301"/>
    <w:rsid w:val="006179FB"/>
    <w:rsid w:val="00632C46"/>
    <w:rsid w:val="00725167"/>
    <w:rsid w:val="00780FDD"/>
    <w:rsid w:val="00783A2A"/>
    <w:rsid w:val="0081575C"/>
    <w:rsid w:val="008B4118"/>
    <w:rsid w:val="008E4BA2"/>
    <w:rsid w:val="009458BA"/>
    <w:rsid w:val="00975A48"/>
    <w:rsid w:val="009F5DAD"/>
    <w:rsid w:val="00A355FD"/>
    <w:rsid w:val="00A66EA6"/>
    <w:rsid w:val="00AA01A6"/>
    <w:rsid w:val="00AC24E2"/>
    <w:rsid w:val="00AE20D4"/>
    <w:rsid w:val="00AF2C77"/>
    <w:rsid w:val="00B85D99"/>
    <w:rsid w:val="00B930F5"/>
    <w:rsid w:val="00BA1F2B"/>
    <w:rsid w:val="00BE645C"/>
    <w:rsid w:val="00CD51F7"/>
    <w:rsid w:val="00CD734E"/>
    <w:rsid w:val="00CE7DC5"/>
    <w:rsid w:val="00CF4F9A"/>
    <w:rsid w:val="00D163A7"/>
    <w:rsid w:val="00D7262F"/>
    <w:rsid w:val="00DA00D9"/>
    <w:rsid w:val="00DC18AE"/>
    <w:rsid w:val="00DE7E97"/>
    <w:rsid w:val="00E31401"/>
    <w:rsid w:val="00E42DFC"/>
    <w:rsid w:val="00E627E0"/>
    <w:rsid w:val="00E85563"/>
    <w:rsid w:val="00EB1384"/>
    <w:rsid w:val="00F27B7F"/>
    <w:rsid w:val="00FA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1A0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4F7"/>
  </w:style>
  <w:style w:type="paragraph" w:styleId="Footer">
    <w:name w:val="footer"/>
    <w:basedOn w:val="Normal"/>
    <w:link w:val="FooterChar"/>
    <w:uiPriority w:val="99"/>
    <w:unhideWhenUsed/>
    <w:rsid w:val="001A0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4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E82"/>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5C4DB9"/>
    <w:pPr>
      <w:ind w:left="720"/>
      <w:contextualSpacing/>
    </w:pPr>
  </w:style>
  <w:style w:type="paragraph" w:styleId="Header">
    <w:name w:val="header"/>
    <w:basedOn w:val="Normal"/>
    <w:link w:val="HeaderChar"/>
    <w:uiPriority w:val="99"/>
    <w:unhideWhenUsed/>
    <w:rsid w:val="001A04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4F7"/>
  </w:style>
  <w:style w:type="paragraph" w:styleId="Footer">
    <w:name w:val="footer"/>
    <w:basedOn w:val="Normal"/>
    <w:link w:val="FooterChar"/>
    <w:uiPriority w:val="99"/>
    <w:unhideWhenUsed/>
    <w:rsid w:val="001A04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2014-03-31T21:15:00Z</dcterms:created>
  <dcterms:modified xsi:type="dcterms:W3CDTF">2014-06-16T19:57:00Z</dcterms:modified>
</cp:coreProperties>
</file>