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EF2" w:rsidRPr="00503874" w:rsidRDefault="00245EF2" w:rsidP="00245EF2">
      <w:pPr>
        <w:spacing w:after="0" w:line="240" w:lineRule="auto"/>
        <w:jc w:val="both"/>
        <w:rPr>
          <w:rFonts w:ascii="Times New Roman" w:eastAsia="Arial" w:hAnsi="Times New Roman"/>
          <w:sz w:val="26"/>
          <w:szCs w:val="26"/>
        </w:rPr>
      </w:pPr>
      <w:bookmarkStart w:id="0" w:name="_GoBack"/>
      <w:bookmarkEnd w:id="0"/>
      <w:r w:rsidRPr="00503874">
        <w:rPr>
          <w:rFonts w:ascii="Times New Roman" w:eastAsia="Arial" w:hAnsi="Times New Roman"/>
          <w:b/>
          <w:sz w:val="26"/>
          <w:szCs w:val="26"/>
          <w:u w:val="single"/>
        </w:rPr>
        <w:t>ANNOTATIONS AND COMMENTS</w:t>
      </w:r>
    </w:p>
    <w:p w:rsidR="00245EF2" w:rsidRPr="00503874" w:rsidRDefault="00245EF2" w:rsidP="00245EF2">
      <w:pPr>
        <w:spacing w:after="0" w:line="240" w:lineRule="auto"/>
        <w:jc w:val="both"/>
        <w:rPr>
          <w:rFonts w:ascii="Times New Roman" w:eastAsia="Arial" w:hAnsi="Times New Roman"/>
          <w:sz w:val="26"/>
          <w:szCs w:val="26"/>
        </w:rPr>
      </w:pPr>
    </w:p>
    <w:p w:rsidR="00725167" w:rsidRPr="00245EF2" w:rsidRDefault="00245EF2" w:rsidP="00245EF2">
      <w:pPr>
        <w:spacing w:after="0" w:line="240" w:lineRule="auto"/>
        <w:jc w:val="both"/>
        <w:rPr>
          <w:rFonts w:ascii="Times New Roman" w:eastAsia="Arial" w:hAnsi="Times New Roman"/>
          <w:sz w:val="26"/>
          <w:szCs w:val="26"/>
        </w:rPr>
      </w:pPr>
      <w:r w:rsidRPr="00975A48">
        <w:rPr>
          <w:rFonts w:ascii="Times New Roman" w:eastAsia="Arial" w:hAnsi="Times New Roman"/>
          <w:i/>
          <w:sz w:val="26"/>
          <w:szCs w:val="26"/>
        </w:rPr>
        <w:t>United States v. Goss</w:t>
      </w:r>
      <w:r w:rsidRPr="00503874">
        <w:rPr>
          <w:rFonts w:ascii="Times New Roman" w:eastAsia="Arial" w:hAnsi="Times New Roman"/>
          <w:sz w:val="26"/>
          <w:szCs w:val="26"/>
        </w:rPr>
        <w:t>, 650 F.2d 1336 (5</w:t>
      </w:r>
      <w:r w:rsidRPr="00503874">
        <w:rPr>
          <w:rFonts w:ascii="Times New Roman" w:eastAsia="Arial" w:hAnsi="Times New Roman"/>
          <w:sz w:val="26"/>
          <w:szCs w:val="26"/>
          <w:vertAlign w:val="superscript"/>
        </w:rPr>
        <w:t>th</w:t>
      </w:r>
      <w:r w:rsidRPr="00503874">
        <w:rPr>
          <w:rFonts w:ascii="Times New Roman" w:eastAsia="Arial" w:hAnsi="Times New Roman"/>
          <w:sz w:val="26"/>
          <w:szCs w:val="26"/>
        </w:rPr>
        <w:t xml:space="preserve"> Cir. 1981), failure to give this instruction as a theory-of-defense charge, when requested to do so, is error if there is any evidentiary foundation to support the Defendant’s claim. Note, however, that there must be some evidentiary basis for the request. If the usual instructions are given defining willfulness and intent to defraud, that will ordinarily suffice in the absence of evidence of good faith. </w:t>
      </w:r>
      <w:r w:rsidRPr="00975A48">
        <w:rPr>
          <w:rFonts w:ascii="Times New Roman" w:eastAsia="Arial" w:hAnsi="Times New Roman"/>
          <w:i/>
          <w:sz w:val="26"/>
          <w:szCs w:val="26"/>
        </w:rPr>
        <w:t>United States v. Boswell</w:t>
      </w:r>
      <w:r w:rsidRPr="00503874">
        <w:rPr>
          <w:rFonts w:ascii="Times New Roman" w:eastAsia="Arial" w:hAnsi="Times New Roman"/>
          <w:sz w:val="26"/>
          <w:szCs w:val="26"/>
        </w:rPr>
        <w:t>, 565 F.2d 1338 (5</w:t>
      </w:r>
      <w:r w:rsidRPr="00503874">
        <w:rPr>
          <w:rFonts w:ascii="Times New Roman" w:eastAsia="Arial" w:hAnsi="Times New Roman"/>
          <w:sz w:val="26"/>
          <w:szCs w:val="26"/>
          <w:vertAlign w:val="superscript"/>
        </w:rPr>
        <w:t>th</w:t>
      </w:r>
      <w:r w:rsidRPr="00503874">
        <w:rPr>
          <w:rFonts w:ascii="Times New Roman" w:eastAsia="Arial" w:hAnsi="Times New Roman"/>
          <w:sz w:val="26"/>
          <w:szCs w:val="26"/>
        </w:rPr>
        <w:t xml:space="preserve"> Cir. 1978), </w:t>
      </w:r>
      <w:r w:rsidRPr="00975A48">
        <w:rPr>
          <w:rFonts w:ascii="Times New Roman" w:eastAsia="Arial" w:hAnsi="Times New Roman"/>
          <w:i/>
          <w:sz w:val="26"/>
          <w:szCs w:val="26"/>
        </w:rPr>
        <w:t>reh’g denied</w:t>
      </w:r>
      <w:r w:rsidRPr="00503874">
        <w:rPr>
          <w:rFonts w:ascii="Times New Roman" w:eastAsia="Arial" w:hAnsi="Times New Roman"/>
          <w:sz w:val="26"/>
          <w:szCs w:val="26"/>
        </w:rPr>
        <w:t>, 568 F.2d 1367 (11</w:t>
      </w:r>
      <w:r w:rsidRPr="00503874">
        <w:rPr>
          <w:rFonts w:ascii="Times New Roman" w:eastAsia="Arial" w:hAnsi="Times New Roman"/>
          <w:sz w:val="26"/>
          <w:szCs w:val="26"/>
          <w:vertAlign w:val="superscript"/>
        </w:rPr>
        <w:t>th</w:t>
      </w:r>
      <w:r w:rsidRPr="00503874">
        <w:rPr>
          <w:rFonts w:ascii="Times New Roman" w:eastAsia="Arial" w:hAnsi="Times New Roman"/>
          <w:sz w:val="26"/>
          <w:szCs w:val="26"/>
        </w:rPr>
        <w:t xml:space="preserve"> Cir. 1978), </w:t>
      </w:r>
      <w:r w:rsidRPr="00975A48">
        <w:rPr>
          <w:rFonts w:ascii="Times New Roman" w:eastAsia="Arial" w:hAnsi="Times New Roman"/>
          <w:i/>
          <w:sz w:val="26"/>
          <w:szCs w:val="26"/>
        </w:rPr>
        <w:t>cert. denied</w:t>
      </w:r>
      <w:r w:rsidRPr="00503874">
        <w:rPr>
          <w:rFonts w:ascii="Times New Roman" w:eastAsia="Arial" w:hAnsi="Times New Roman"/>
          <w:sz w:val="26"/>
          <w:szCs w:val="26"/>
        </w:rPr>
        <w:t>, 439 U.S. 819, 99 S. Ct. 81, 58 L.</w:t>
      </w:r>
      <w:r>
        <w:rPr>
          <w:rFonts w:ascii="Times New Roman" w:eastAsia="Arial" w:hAnsi="Times New Roman"/>
          <w:sz w:val="26"/>
          <w:szCs w:val="26"/>
        </w:rPr>
        <w:t xml:space="preserve"> </w:t>
      </w:r>
      <w:r w:rsidRPr="00503874">
        <w:rPr>
          <w:rFonts w:ascii="Times New Roman" w:eastAsia="Arial" w:hAnsi="Times New Roman"/>
          <w:sz w:val="26"/>
          <w:szCs w:val="26"/>
        </w:rPr>
        <w:t>Ed.</w:t>
      </w:r>
      <w:r>
        <w:rPr>
          <w:rFonts w:ascii="Times New Roman" w:eastAsia="Arial" w:hAnsi="Times New Roman"/>
          <w:sz w:val="26"/>
          <w:szCs w:val="26"/>
        </w:rPr>
        <w:t xml:space="preserve"> </w:t>
      </w:r>
      <w:r w:rsidRPr="00503874">
        <w:rPr>
          <w:rFonts w:ascii="Times New Roman" w:eastAsia="Arial" w:hAnsi="Times New Roman"/>
          <w:sz w:val="26"/>
          <w:szCs w:val="26"/>
        </w:rPr>
        <w:t xml:space="preserve">2d 110 (1978); </w:t>
      </w:r>
      <w:r w:rsidRPr="00975A48">
        <w:rPr>
          <w:rFonts w:ascii="Times New Roman" w:eastAsia="Arial" w:hAnsi="Times New Roman"/>
          <w:i/>
          <w:sz w:val="26"/>
          <w:szCs w:val="26"/>
        </w:rPr>
        <w:t>United States v. England</w:t>
      </w:r>
      <w:r w:rsidRPr="00503874">
        <w:rPr>
          <w:rFonts w:ascii="Times New Roman" w:eastAsia="Arial" w:hAnsi="Times New Roman"/>
          <w:sz w:val="26"/>
          <w:szCs w:val="26"/>
        </w:rPr>
        <w:t>, 480 F.2d 1266 (5</w:t>
      </w:r>
      <w:r w:rsidRPr="00503874">
        <w:rPr>
          <w:rFonts w:ascii="Times New Roman" w:eastAsia="Arial" w:hAnsi="Times New Roman"/>
          <w:sz w:val="26"/>
          <w:szCs w:val="26"/>
          <w:vertAlign w:val="superscript"/>
        </w:rPr>
        <w:t>th</w:t>
      </w:r>
      <w:r w:rsidRPr="00503874">
        <w:rPr>
          <w:rFonts w:ascii="Times New Roman" w:eastAsia="Arial" w:hAnsi="Times New Roman"/>
          <w:sz w:val="26"/>
          <w:szCs w:val="26"/>
        </w:rPr>
        <w:t xml:space="preserve"> Cir. 1973), </w:t>
      </w:r>
      <w:r w:rsidRPr="00975A48">
        <w:rPr>
          <w:rFonts w:ascii="Times New Roman" w:eastAsia="Arial" w:hAnsi="Times New Roman"/>
          <w:i/>
          <w:sz w:val="26"/>
          <w:szCs w:val="26"/>
        </w:rPr>
        <w:t>cert. denied</w:t>
      </w:r>
      <w:r w:rsidRPr="00503874">
        <w:rPr>
          <w:rFonts w:ascii="Times New Roman" w:eastAsia="Arial" w:hAnsi="Times New Roman"/>
          <w:sz w:val="26"/>
          <w:szCs w:val="26"/>
        </w:rPr>
        <w:t>, 414 U.S. 1041, 94 S. Ct. 543, 38 L.</w:t>
      </w:r>
      <w:r>
        <w:rPr>
          <w:rFonts w:ascii="Times New Roman" w:eastAsia="Arial" w:hAnsi="Times New Roman"/>
          <w:sz w:val="26"/>
          <w:szCs w:val="26"/>
        </w:rPr>
        <w:t xml:space="preserve"> </w:t>
      </w:r>
      <w:r w:rsidRPr="00503874">
        <w:rPr>
          <w:rFonts w:ascii="Times New Roman" w:eastAsia="Arial" w:hAnsi="Times New Roman"/>
          <w:sz w:val="26"/>
          <w:szCs w:val="26"/>
        </w:rPr>
        <w:t>Ed.</w:t>
      </w:r>
      <w:r>
        <w:rPr>
          <w:rFonts w:ascii="Times New Roman" w:eastAsia="Arial" w:hAnsi="Times New Roman"/>
          <w:sz w:val="26"/>
          <w:szCs w:val="26"/>
        </w:rPr>
        <w:t xml:space="preserve"> </w:t>
      </w:r>
      <w:r w:rsidRPr="00503874">
        <w:rPr>
          <w:rFonts w:ascii="Times New Roman" w:eastAsia="Arial" w:hAnsi="Times New Roman"/>
          <w:sz w:val="26"/>
          <w:szCs w:val="26"/>
        </w:rPr>
        <w:t xml:space="preserve">2d 332 (1973); </w:t>
      </w:r>
      <w:r w:rsidRPr="00975A48">
        <w:rPr>
          <w:rFonts w:ascii="Times New Roman" w:eastAsia="Arial" w:hAnsi="Times New Roman"/>
          <w:i/>
          <w:sz w:val="26"/>
          <w:szCs w:val="26"/>
        </w:rPr>
        <w:t>United States v. Williams</w:t>
      </w:r>
      <w:r w:rsidRPr="00503874">
        <w:rPr>
          <w:rFonts w:ascii="Times New Roman" w:eastAsia="Arial" w:hAnsi="Times New Roman"/>
          <w:sz w:val="26"/>
          <w:szCs w:val="26"/>
        </w:rPr>
        <w:t>, 728 F.2d 1402 (11</w:t>
      </w:r>
      <w:r w:rsidRPr="00503874">
        <w:rPr>
          <w:rFonts w:ascii="Times New Roman" w:eastAsia="Arial" w:hAnsi="Times New Roman"/>
          <w:sz w:val="26"/>
          <w:szCs w:val="26"/>
          <w:vertAlign w:val="superscript"/>
        </w:rPr>
        <w:t>th</w:t>
      </w:r>
      <w:r>
        <w:rPr>
          <w:rFonts w:ascii="Times New Roman" w:eastAsia="Arial" w:hAnsi="Times New Roman"/>
          <w:sz w:val="26"/>
          <w:szCs w:val="26"/>
        </w:rPr>
        <w:t xml:space="preserve"> Cir. 1984).</w:t>
      </w:r>
    </w:p>
    <w:sectPr w:rsidR="00725167" w:rsidRPr="00245E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4F7" w:rsidRDefault="001A04F7" w:rsidP="001A04F7">
      <w:pPr>
        <w:spacing w:after="0" w:line="240" w:lineRule="auto"/>
      </w:pPr>
      <w:r>
        <w:separator/>
      </w:r>
    </w:p>
  </w:endnote>
  <w:endnote w:type="continuationSeparator" w:id="0">
    <w:p w:rsidR="001A04F7" w:rsidRDefault="001A04F7" w:rsidP="001A0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4F7" w:rsidRDefault="001A04F7" w:rsidP="001A04F7">
      <w:pPr>
        <w:spacing w:after="0" w:line="240" w:lineRule="auto"/>
      </w:pPr>
      <w:r>
        <w:separator/>
      </w:r>
    </w:p>
  </w:footnote>
  <w:footnote w:type="continuationSeparator" w:id="0">
    <w:p w:rsidR="001A04F7" w:rsidRDefault="001A04F7" w:rsidP="001A04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3583F"/>
    <w:rsid w:val="00091548"/>
    <w:rsid w:val="000C32C1"/>
    <w:rsid w:val="00135397"/>
    <w:rsid w:val="00157747"/>
    <w:rsid w:val="00194E82"/>
    <w:rsid w:val="001A04F7"/>
    <w:rsid w:val="001E5B53"/>
    <w:rsid w:val="00245EF2"/>
    <w:rsid w:val="002604B9"/>
    <w:rsid w:val="003067A0"/>
    <w:rsid w:val="003B34B3"/>
    <w:rsid w:val="004C148A"/>
    <w:rsid w:val="00511CE4"/>
    <w:rsid w:val="0056064A"/>
    <w:rsid w:val="005C4DB9"/>
    <w:rsid w:val="00615301"/>
    <w:rsid w:val="006179FB"/>
    <w:rsid w:val="00632C46"/>
    <w:rsid w:val="00725167"/>
    <w:rsid w:val="00780FDD"/>
    <w:rsid w:val="00783A2A"/>
    <w:rsid w:val="0081575C"/>
    <w:rsid w:val="008B4118"/>
    <w:rsid w:val="008E4BA2"/>
    <w:rsid w:val="009458BA"/>
    <w:rsid w:val="00975A48"/>
    <w:rsid w:val="009F5DAD"/>
    <w:rsid w:val="00A355FD"/>
    <w:rsid w:val="00A66EA6"/>
    <w:rsid w:val="00AA01A6"/>
    <w:rsid w:val="00AC24E2"/>
    <w:rsid w:val="00AE20D4"/>
    <w:rsid w:val="00AF2C77"/>
    <w:rsid w:val="00B85D99"/>
    <w:rsid w:val="00B930F5"/>
    <w:rsid w:val="00BA1F2B"/>
    <w:rsid w:val="00BE645C"/>
    <w:rsid w:val="00CD51F7"/>
    <w:rsid w:val="00CD734E"/>
    <w:rsid w:val="00CE7DC5"/>
    <w:rsid w:val="00CF4F9A"/>
    <w:rsid w:val="00D163A7"/>
    <w:rsid w:val="00D7262F"/>
    <w:rsid w:val="00DA00D9"/>
    <w:rsid w:val="00DC18AE"/>
    <w:rsid w:val="00DE7E97"/>
    <w:rsid w:val="00E31401"/>
    <w:rsid w:val="00E42DFC"/>
    <w:rsid w:val="00E627E0"/>
    <w:rsid w:val="00E85563"/>
    <w:rsid w:val="00EB1384"/>
    <w:rsid w:val="00F27B7F"/>
    <w:rsid w:val="00FA4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1A04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4F7"/>
  </w:style>
  <w:style w:type="paragraph" w:styleId="Footer">
    <w:name w:val="footer"/>
    <w:basedOn w:val="Normal"/>
    <w:link w:val="FooterChar"/>
    <w:uiPriority w:val="99"/>
    <w:unhideWhenUsed/>
    <w:rsid w:val="001A04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4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1A04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4F7"/>
  </w:style>
  <w:style w:type="paragraph" w:styleId="Footer">
    <w:name w:val="footer"/>
    <w:basedOn w:val="Normal"/>
    <w:link w:val="FooterChar"/>
    <w:uiPriority w:val="99"/>
    <w:unhideWhenUsed/>
    <w:rsid w:val="001A04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707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2014-03-31T21:15:00Z</dcterms:created>
  <dcterms:modified xsi:type="dcterms:W3CDTF">2014-06-16T19:57:00Z</dcterms:modified>
</cp:coreProperties>
</file>