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A01" w:rsidRPr="00503874" w:rsidRDefault="00503A01" w:rsidP="00503A01">
      <w:pPr>
        <w:spacing w:after="0" w:line="240" w:lineRule="auto"/>
        <w:jc w:val="both"/>
        <w:rPr>
          <w:rFonts w:ascii="Times New Roman" w:eastAsia="Arial" w:hAnsi="Times New Roman"/>
          <w:sz w:val="26"/>
          <w:szCs w:val="26"/>
        </w:rPr>
      </w:pPr>
      <w:bookmarkStart w:id="0" w:name="_GoBack"/>
      <w:bookmarkEnd w:id="0"/>
      <w:r w:rsidRPr="00503874">
        <w:rPr>
          <w:rFonts w:ascii="Times New Roman" w:eastAsia="Arial" w:hAnsi="Times New Roman"/>
          <w:b/>
          <w:sz w:val="26"/>
          <w:szCs w:val="26"/>
          <w:u w:val="single"/>
        </w:rPr>
        <w:t>ANNOTATIONS AND COMMENTS</w:t>
      </w:r>
    </w:p>
    <w:p w:rsidR="00503A01" w:rsidRPr="00503874" w:rsidRDefault="00503A01" w:rsidP="00503A01">
      <w:pPr>
        <w:spacing w:after="0" w:line="240" w:lineRule="auto"/>
        <w:jc w:val="both"/>
        <w:rPr>
          <w:rFonts w:ascii="Times New Roman" w:eastAsia="Arial" w:hAnsi="Times New Roman"/>
          <w:sz w:val="26"/>
          <w:szCs w:val="26"/>
        </w:rPr>
      </w:pPr>
    </w:p>
    <w:p w:rsidR="00503A01" w:rsidRPr="00503874" w:rsidRDefault="00503A01" w:rsidP="00503A01">
      <w:pPr>
        <w:spacing w:after="0" w:line="240" w:lineRule="auto"/>
        <w:jc w:val="both"/>
        <w:rPr>
          <w:rFonts w:ascii="Times New Roman" w:eastAsia="Arial" w:hAnsi="Times New Roman"/>
          <w:sz w:val="26"/>
          <w:szCs w:val="26"/>
        </w:rPr>
      </w:pPr>
      <w:r w:rsidRPr="00503874">
        <w:rPr>
          <w:rFonts w:ascii="Times New Roman" w:eastAsia="Arial" w:hAnsi="Times New Roman"/>
          <w:sz w:val="26"/>
          <w:szCs w:val="26"/>
        </w:rPr>
        <w:t>“Good-faith” is a defense whenever the defendant’s good-faith is inconsistent with a finding that the defendant acted with the mental state required by the definition of the offense charged. Good-faith exculpates when it necessarily negates the required mental state for the offense. Of course, whether good-faith would negate the mental state element depends on how that element is defined with respect to the offense charged and the evidence presented at trial in support of the defendant’s good-faith defense. Because good-faith relates to an element of the offense, the defendant does not have the burden of persuasion, although the defendant may have the burden of production.</w:t>
      </w:r>
    </w:p>
    <w:p w:rsidR="00503A01" w:rsidRPr="00503874" w:rsidRDefault="00503A01" w:rsidP="00503A01">
      <w:pPr>
        <w:spacing w:after="0" w:line="240" w:lineRule="auto"/>
        <w:jc w:val="both"/>
        <w:rPr>
          <w:rFonts w:ascii="Times New Roman" w:eastAsia="Arial" w:hAnsi="Times New Roman"/>
          <w:sz w:val="26"/>
          <w:szCs w:val="26"/>
        </w:rPr>
      </w:pPr>
    </w:p>
    <w:p w:rsidR="00503A01" w:rsidRPr="00503874" w:rsidRDefault="00503A01" w:rsidP="00503A01">
      <w:pPr>
        <w:spacing w:after="0" w:line="240" w:lineRule="auto"/>
        <w:jc w:val="both"/>
        <w:rPr>
          <w:rFonts w:ascii="Times New Roman" w:eastAsia="Arial" w:hAnsi="Times New Roman"/>
          <w:sz w:val="26"/>
          <w:szCs w:val="26"/>
        </w:rPr>
      </w:pPr>
      <w:r w:rsidRPr="00503874">
        <w:rPr>
          <w:rFonts w:ascii="Times New Roman" w:eastAsia="Arial" w:hAnsi="Times New Roman"/>
          <w:sz w:val="26"/>
          <w:szCs w:val="26"/>
        </w:rPr>
        <w:t xml:space="preserve">Perhaps because of </w:t>
      </w:r>
      <w:r w:rsidRPr="002A0A5B">
        <w:rPr>
          <w:rFonts w:ascii="Times New Roman" w:eastAsia="Arial" w:hAnsi="Times New Roman"/>
          <w:i/>
          <w:sz w:val="26"/>
          <w:szCs w:val="26"/>
        </w:rPr>
        <w:t>Cheek v. United States</w:t>
      </w:r>
      <w:r w:rsidRPr="00503874">
        <w:rPr>
          <w:rFonts w:ascii="Times New Roman" w:eastAsia="Arial" w:hAnsi="Times New Roman"/>
          <w:sz w:val="26"/>
          <w:szCs w:val="26"/>
        </w:rPr>
        <w:t>, 498 U.S. 192 (1991), where the Supreme Court held that the defendant could not be convicted if the jury found that he honestly believed the tax laws did not make his conduct criminal, even if that belief was unreasonable, this defense is often thought of in connection with tax offenses.</w:t>
      </w:r>
    </w:p>
    <w:p w:rsidR="00503A01" w:rsidRPr="00503874" w:rsidRDefault="00503A01" w:rsidP="00503A01">
      <w:pPr>
        <w:spacing w:after="0" w:line="240" w:lineRule="auto"/>
        <w:jc w:val="both"/>
        <w:rPr>
          <w:rFonts w:ascii="Times New Roman" w:eastAsia="Arial" w:hAnsi="Times New Roman"/>
          <w:sz w:val="26"/>
          <w:szCs w:val="26"/>
        </w:rPr>
      </w:pPr>
    </w:p>
    <w:p w:rsidR="00503A01" w:rsidRPr="00503874" w:rsidRDefault="00503A01" w:rsidP="00503A01">
      <w:pPr>
        <w:spacing w:after="0" w:line="240" w:lineRule="auto"/>
        <w:jc w:val="both"/>
        <w:rPr>
          <w:rFonts w:ascii="Times New Roman" w:eastAsia="Arial" w:hAnsi="Times New Roman"/>
          <w:sz w:val="26"/>
          <w:szCs w:val="26"/>
        </w:rPr>
      </w:pPr>
      <w:r w:rsidRPr="00503874">
        <w:rPr>
          <w:rFonts w:ascii="Times New Roman" w:eastAsia="Arial" w:hAnsi="Times New Roman"/>
          <w:sz w:val="26"/>
          <w:szCs w:val="26"/>
        </w:rPr>
        <w:t>The defense has also been used commonly in the context of fraud type offenses, such as mail fraud, securities fraud, bankruptcy fraud, bank fraud and the like, as well as false statement crimes.</w:t>
      </w:r>
    </w:p>
    <w:p w:rsidR="00503A01" w:rsidRPr="00503874" w:rsidRDefault="00503A01" w:rsidP="00503A01">
      <w:pPr>
        <w:spacing w:after="0" w:line="240" w:lineRule="auto"/>
        <w:jc w:val="both"/>
        <w:rPr>
          <w:rFonts w:ascii="Times New Roman" w:eastAsia="Arial" w:hAnsi="Times New Roman"/>
          <w:sz w:val="26"/>
          <w:szCs w:val="26"/>
        </w:rPr>
      </w:pPr>
    </w:p>
    <w:p w:rsidR="00503A01" w:rsidRPr="00503874" w:rsidRDefault="00503A01" w:rsidP="00503A01">
      <w:pPr>
        <w:spacing w:after="0" w:line="240" w:lineRule="auto"/>
        <w:jc w:val="both"/>
        <w:rPr>
          <w:rFonts w:ascii="Times New Roman" w:eastAsia="Arial" w:hAnsi="Times New Roman"/>
          <w:sz w:val="26"/>
          <w:szCs w:val="26"/>
        </w:rPr>
      </w:pPr>
      <w:r w:rsidRPr="00503874">
        <w:rPr>
          <w:rFonts w:ascii="Times New Roman" w:eastAsia="Arial" w:hAnsi="Times New Roman"/>
          <w:sz w:val="26"/>
          <w:szCs w:val="26"/>
        </w:rPr>
        <w:t>This instruction should be used, where appropriate, only in cases where “intent” is an element. It is not to be used where it is required only that the defendant acted “knowingly.”</w:t>
      </w:r>
    </w:p>
    <w:p w:rsidR="00503A01" w:rsidRPr="00503874" w:rsidRDefault="00503A01" w:rsidP="00503A01">
      <w:pPr>
        <w:spacing w:after="0" w:line="240" w:lineRule="auto"/>
        <w:jc w:val="both"/>
        <w:rPr>
          <w:rFonts w:ascii="Times New Roman" w:eastAsia="Arial" w:hAnsi="Times New Roman"/>
          <w:sz w:val="26"/>
          <w:szCs w:val="26"/>
        </w:rPr>
      </w:pPr>
    </w:p>
    <w:p w:rsidR="00503A01" w:rsidRPr="00503874" w:rsidRDefault="00503A01" w:rsidP="00503A01">
      <w:pPr>
        <w:spacing w:after="0" w:line="240" w:lineRule="auto"/>
        <w:jc w:val="both"/>
        <w:rPr>
          <w:rFonts w:ascii="Times New Roman" w:eastAsia="Arial" w:hAnsi="Times New Roman"/>
          <w:sz w:val="26"/>
          <w:szCs w:val="26"/>
        </w:rPr>
      </w:pPr>
      <w:r w:rsidRPr="002A0A5B">
        <w:rPr>
          <w:rFonts w:ascii="Times New Roman" w:eastAsia="Arial" w:hAnsi="Times New Roman"/>
          <w:i/>
          <w:sz w:val="26"/>
          <w:szCs w:val="26"/>
        </w:rPr>
        <w:t>See United States v. Eisenstein</w:t>
      </w:r>
      <w:r w:rsidRPr="00503874">
        <w:rPr>
          <w:rFonts w:ascii="Times New Roman" w:eastAsia="Arial" w:hAnsi="Times New Roman"/>
          <w:sz w:val="26"/>
          <w:szCs w:val="26"/>
        </w:rPr>
        <w:t>, 731 F.2d 1540, 1544 (11</w:t>
      </w:r>
      <w:r w:rsidRPr="00503874">
        <w:rPr>
          <w:rFonts w:ascii="Times New Roman" w:eastAsia="Arial" w:hAnsi="Times New Roman"/>
          <w:sz w:val="26"/>
          <w:szCs w:val="26"/>
          <w:vertAlign w:val="superscript"/>
        </w:rPr>
        <w:t>th</w:t>
      </w:r>
      <w:r w:rsidRPr="00503874">
        <w:rPr>
          <w:rFonts w:ascii="Times New Roman" w:eastAsia="Arial" w:hAnsi="Times New Roman"/>
          <w:sz w:val="26"/>
          <w:szCs w:val="26"/>
        </w:rPr>
        <w:t xml:space="preserve"> Cir. 1984).</w:t>
      </w:r>
    </w:p>
    <w:p w:rsidR="00503A01" w:rsidRPr="00503874" w:rsidRDefault="00503A01" w:rsidP="00503A01">
      <w:pPr>
        <w:spacing w:after="0" w:line="240" w:lineRule="auto"/>
        <w:jc w:val="both"/>
        <w:rPr>
          <w:rFonts w:ascii="Times New Roman" w:eastAsia="Arial" w:hAnsi="Times New Roman"/>
          <w:sz w:val="26"/>
          <w:szCs w:val="26"/>
        </w:rPr>
      </w:pPr>
    </w:p>
    <w:p w:rsidR="00503A01" w:rsidRPr="00503874" w:rsidRDefault="00503A01" w:rsidP="00503A01">
      <w:pPr>
        <w:spacing w:after="0" w:line="240" w:lineRule="auto"/>
        <w:jc w:val="both"/>
        <w:rPr>
          <w:rFonts w:ascii="Times New Roman" w:eastAsia="Arial" w:hAnsi="Times New Roman"/>
          <w:sz w:val="26"/>
          <w:szCs w:val="26"/>
        </w:rPr>
      </w:pPr>
      <w:r w:rsidRPr="002A0A5B">
        <w:rPr>
          <w:rFonts w:ascii="Times New Roman" w:eastAsia="Arial" w:hAnsi="Times New Roman"/>
          <w:i/>
          <w:sz w:val="26"/>
          <w:szCs w:val="26"/>
        </w:rPr>
        <w:t>See also United States v. Condon</w:t>
      </w:r>
      <w:r w:rsidRPr="00503874">
        <w:rPr>
          <w:rFonts w:ascii="Times New Roman" w:eastAsia="Arial" w:hAnsi="Times New Roman"/>
          <w:sz w:val="26"/>
          <w:szCs w:val="26"/>
        </w:rPr>
        <w:t>, 132 F.3d 653 (11</w:t>
      </w:r>
      <w:r w:rsidRPr="00503874">
        <w:rPr>
          <w:rFonts w:ascii="Times New Roman" w:eastAsia="Arial" w:hAnsi="Times New Roman"/>
          <w:sz w:val="26"/>
          <w:szCs w:val="26"/>
          <w:vertAlign w:val="superscript"/>
        </w:rPr>
        <w:t>th</w:t>
      </w:r>
      <w:r w:rsidRPr="00503874">
        <w:rPr>
          <w:rFonts w:ascii="Times New Roman" w:eastAsia="Arial" w:hAnsi="Times New Roman"/>
          <w:sz w:val="26"/>
          <w:szCs w:val="26"/>
        </w:rPr>
        <w:t xml:space="preserve"> Cir. 1998) (describing the circumstances in which a good-faith reliance upon advice of counsel instruction is appropriate).</w:t>
      </w:r>
    </w:p>
    <w:p w:rsidR="00503A01" w:rsidRPr="00503874" w:rsidRDefault="00503A01" w:rsidP="00503A01">
      <w:pPr>
        <w:spacing w:after="0" w:line="240" w:lineRule="auto"/>
        <w:jc w:val="both"/>
        <w:rPr>
          <w:rFonts w:ascii="Times New Roman" w:eastAsia="Arial" w:hAnsi="Times New Roman"/>
          <w:sz w:val="26"/>
          <w:szCs w:val="26"/>
        </w:rPr>
      </w:pPr>
    </w:p>
    <w:p w:rsidR="00725167" w:rsidRPr="00503A01" w:rsidRDefault="00503A01" w:rsidP="00503A01">
      <w:pPr>
        <w:spacing w:after="0" w:line="240" w:lineRule="auto"/>
        <w:jc w:val="both"/>
        <w:rPr>
          <w:rFonts w:ascii="Times New Roman" w:eastAsia="Arial" w:hAnsi="Times New Roman"/>
          <w:sz w:val="26"/>
          <w:szCs w:val="26"/>
        </w:rPr>
      </w:pPr>
      <w:r w:rsidRPr="002A0A5B">
        <w:rPr>
          <w:rFonts w:ascii="Times New Roman" w:eastAsia="Arial" w:hAnsi="Times New Roman"/>
          <w:i/>
          <w:sz w:val="26"/>
          <w:szCs w:val="26"/>
        </w:rPr>
        <w:t>See also United States v. Petrie</w:t>
      </w:r>
      <w:r w:rsidRPr="00503874">
        <w:rPr>
          <w:rFonts w:ascii="Times New Roman" w:eastAsia="Arial" w:hAnsi="Times New Roman"/>
          <w:sz w:val="26"/>
          <w:szCs w:val="26"/>
        </w:rPr>
        <w:t>, 302 F.3d 1280 (11</w:t>
      </w:r>
      <w:r w:rsidRPr="00503874">
        <w:rPr>
          <w:rFonts w:ascii="Times New Roman" w:eastAsia="Arial" w:hAnsi="Times New Roman"/>
          <w:sz w:val="26"/>
          <w:szCs w:val="26"/>
          <w:vertAlign w:val="superscript"/>
        </w:rPr>
        <w:t>th</w:t>
      </w:r>
      <w:r w:rsidRPr="00503874">
        <w:rPr>
          <w:rFonts w:ascii="Times New Roman" w:eastAsia="Arial" w:hAnsi="Times New Roman"/>
          <w:sz w:val="26"/>
          <w:szCs w:val="26"/>
        </w:rPr>
        <w:t xml:space="preserve"> Cir. 2002) (the instruction may be applied to the charges of conspiracy to launder money if there is an evidenti</w:t>
      </w:r>
      <w:r>
        <w:rPr>
          <w:rFonts w:ascii="Times New Roman" w:eastAsia="Arial" w:hAnsi="Times New Roman"/>
          <w:sz w:val="26"/>
          <w:szCs w:val="26"/>
        </w:rPr>
        <w:t>ary predicate for the defense).</w:t>
      </w:r>
    </w:p>
    <w:sectPr w:rsidR="00725167" w:rsidRPr="00503A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072" w:rsidRDefault="005C4072" w:rsidP="005C4072">
      <w:pPr>
        <w:spacing w:after="0" w:line="240" w:lineRule="auto"/>
      </w:pPr>
      <w:r>
        <w:separator/>
      </w:r>
    </w:p>
  </w:endnote>
  <w:endnote w:type="continuationSeparator" w:id="0">
    <w:p w:rsidR="005C4072" w:rsidRDefault="005C4072" w:rsidP="005C4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072" w:rsidRDefault="005C4072" w:rsidP="005C4072">
      <w:pPr>
        <w:spacing w:after="0" w:line="240" w:lineRule="auto"/>
      </w:pPr>
      <w:r>
        <w:separator/>
      </w:r>
    </w:p>
  </w:footnote>
  <w:footnote w:type="continuationSeparator" w:id="0">
    <w:p w:rsidR="005C4072" w:rsidRDefault="005C4072" w:rsidP="005C40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E82"/>
    <w:rsid w:val="00014B03"/>
    <w:rsid w:val="0003583F"/>
    <w:rsid w:val="00091548"/>
    <w:rsid w:val="000C32C1"/>
    <w:rsid w:val="00135397"/>
    <w:rsid w:val="00157747"/>
    <w:rsid w:val="00194E82"/>
    <w:rsid w:val="001E5B53"/>
    <w:rsid w:val="00245EF2"/>
    <w:rsid w:val="002604B9"/>
    <w:rsid w:val="002A0A5B"/>
    <w:rsid w:val="003067A0"/>
    <w:rsid w:val="004C148A"/>
    <w:rsid w:val="00503A01"/>
    <w:rsid w:val="00511CE4"/>
    <w:rsid w:val="0056064A"/>
    <w:rsid w:val="005C4072"/>
    <w:rsid w:val="005C4DB9"/>
    <w:rsid w:val="00615301"/>
    <w:rsid w:val="006179FB"/>
    <w:rsid w:val="00632C46"/>
    <w:rsid w:val="00725167"/>
    <w:rsid w:val="00780FDD"/>
    <w:rsid w:val="00783A2A"/>
    <w:rsid w:val="007B29B1"/>
    <w:rsid w:val="0081575C"/>
    <w:rsid w:val="008B4118"/>
    <w:rsid w:val="008E4BA2"/>
    <w:rsid w:val="009458BA"/>
    <w:rsid w:val="009F5DAD"/>
    <w:rsid w:val="00A355FD"/>
    <w:rsid w:val="00A66EA6"/>
    <w:rsid w:val="00AA01A6"/>
    <w:rsid w:val="00AC24E2"/>
    <w:rsid w:val="00AE20D4"/>
    <w:rsid w:val="00AF2C77"/>
    <w:rsid w:val="00B85D99"/>
    <w:rsid w:val="00B930F5"/>
    <w:rsid w:val="00BA1F2B"/>
    <w:rsid w:val="00BE645C"/>
    <w:rsid w:val="00CD51F7"/>
    <w:rsid w:val="00CD734E"/>
    <w:rsid w:val="00CE7DC5"/>
    <w:rsid w:val="00CF4F9A"/>
    <w:rsid w:val="00D163A7"/>
    <w:rsid w:val="00D7262F"/>
    <w:rsid w:val="00DA00D9"/>
    <w:rsid w:val="00DC18AE"/>
    <w:rsid w:val="00DE7E97"/>
    <w:rsid w:val="00E31401"/>
    <w:rsid w:val="00E42DFC"/>
    <w:rsid w:val="00E627E0"/>
    <w:rsid w:val="00E85563"/>
    <w:rsid w:val="00EB1384"/>
    <w:rsid w:val="00F27B7F"/>
    <w:rsid w:val="00FA4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E82"/>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5C4DB9"/>
    <w:pPr>
      <w:ind w:left="720"/>
      <w:contextualSpacing/>
    </w:pPr>
  </w:style>
  <w:style w:type="paragraph" w:styleId="Header">
    <w:name w:val="header"/>
    <w:basedOn w:val="Normal"/>
    <w:link w:val="HeaderChar"/>
    <w:uiPriority w:val="99"/>
    <w:unhideWhenUsed/>
    <w:rsid w:val="005C40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072"/>
  </w:style>
  <w:style w:type="paragraph" w:styleId="Footer">
    <w:name w:val="footer"/>
    <w:basedOn w:val="Normal"/>
    <w:link w:val="FooterChar"/>
    <w:uiPriority w:val="99"/>
    <w:unhideWhenUsed/>
    <w:rsid w:val="005C40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0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E82"/>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5C4DB9"/>
    <w:pPr>
      <w:ind w:left="720"/>
      <w:contextualSpacing/>
    </w:pPr>
  </w:style>
  <w:style w:type="paragraph" w:styleId="Header">
    <w:name w:val="header"/>
    <w:basedOn w:val="Normal"/>
    <w:link w:val="HeaderChar"/>
    <w:uiPriority w:val="99"/>
    <w:unhideWhenUsed/>
    <w:rsid w:val="005C40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072"/>
  </w:style>
  <w:style w:type="paragraph" w:styleId="Footer">
    <w:name w:val="footer"/>
    <w:basedOn w:val="Normal"/>
    <w:link w:val="FooterChar"/>
    <w:uiPriority w:val="99"/>
    <w:unhideWhenUsed/>
    <w:rsid w:val="005C40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2014-03-31T21:15:00Z</dcterms:created>
  <dcterms:modified xsi:type="dcterms:W3CDTF">2014-06-16T19:54:00Z</dcterms:modified>
</cp:coreProperties>
</file>