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A01" w:rsidRPr="00503874" w:rsidRDefault="00503A01" w:rsidP="00503A01">
      <w:pPr>
        <w:spacing w:after="0" w:line="240" w:lineRule="auto"/>
        <w:jc w:val="both"/>
        <w:rPr>
          <w:rFonts w:ascii="Times New Roman" w:eastAsia="Arial" w:hAnsi="Times New Roman"/>
          <w:sz w:val="26"/>
          <w:szCs w:val="26"/>
        </w:rPr>
      </w:pPr>
      <w:bookmarkStart w:id="0" w:name="_GoBack"/>
      <w:bookmarkEnd w:id="0"/>
      <w:r w:rsidRPr="00503874">
        <w:rPr>
          <w:rFonts w:ascii="Times New Roman" w:eastAsia="Arial" w:hAnsi="Times New Roman"/>
          <w:b/>
          <w:sz w:val="26"/>
          <w:szCs w:val="26"/>
          <w:u w:val="single"/>
        </w:rPr>
        <w:t>ANNOTATIONS AND COMMENTS</w:t>
      </w:r>
    </w:p>
    <w:p w:rsidR="00503A01" w:rsidRPr="00503874" w:rsidRDefault="00503A01" w:rsidP="00503A01">
      <w:pPr>
        <w:spacing w:after="0" w:line="240" w:lineRule="auto"/>
        <w:jc w:val="both"/>
        <w:rPr>
          <w:rFonts w:ascii="Times New Roman" w:eastAsia="Arial" w:hAnsi="Times New Roman"/>
          <w:sz w:val="26"/>
          <w:szCs w:val="26"/>
        </w:rPr>
      </w:pPr>
    </w:p>
    <w:p w:rsidR="00503A01" w:rsidRPr="00503874" w:rsidRDefault="00503A01" w:rsidP="00503A01">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“Good-faith” is a defense whenever the defendant’s good-faith is inconsistent with a finding that the defendant acted with the mental state required by the definition of the offense charged. Good-faith exculpates when it necessarily negates the required mental state for the offense. Of course, whether good-faith would negate the mental state element depends on how that element is defined with respect to the offense charged and the evidence presented at trial in support of the defendant’s good-faith defense. Because good-faith relates to an element of the offense, the defendant does not have the burden of persuasion, although the defendant may have the burden of production.</w:t>
      </w:r>
    </w:p>
    <w:p w:rsidR="00503A01" w:rsidRPr="00503874" w:rsidRDefault="00503A01" w:rsidP="00503A01">
      <w:pPr>
        <w:spacing w:after="0" w:line="240" w:lineRule="auto"/>
        <w:jc w:val="both"/>
        <w:rPr>
          <w:rFonts w:ascii="Times New Roman" w:eastAsia="Arial" w:hAnsi="Times New Roman"/>
          <w:sz w:val="26"/>
          <w:szCs w:val="26"/>
        </w:rPr>
      </w:pPr>
    </w:p>
    <w:p w:rsidR="00503A01" w:rsidRPr="00503874" w:rsidRDefault="00503A01" w:rsidP="00503A01">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Perhaps because of </w:t>
      </w:r>
      <w:r w:rsidRPr="002A0A5B">
        <w:rPr>
          <w:rFonts w:ascii="Times New Roman" w:eastAsia="Arial" w:hAnsi="Times New Roman"/>
          <w:i/>
          <w:sz w:val="26"/>
          <w:szCs w:val="26"/>
        </w:rPr>
        <w:t>Cheek v. United States</w:t>
      </w:r>
      <w:r w:rsidRPr="00503874">
        <w:rPr>
          <w:rFonts w:ascii="Times New Roman" w:eastAsia="Arial" w:hAnsi="Times New Roman"/>
          <w:sz w:val="26"/>
          <w:szCs w:val="26"/>
        </w:rPr>
        <w:t>, 498 U.S. 192 (1991), where the Supreme Court held that the defendant could not be convicted if the jury found that he honestly believed the tax laws did not make his conduct criminal, even if that belief was unreasonable, this defense is often thought of in connection with tax offenses.</w:t>
      </w:r>
    </w:p>
    <w:p w:rsidR="00503A01" w:rsidRPr="00503874" w:rsidRDefault="00503A01" w:rsidP="00503A01">
      <w:pPr>
        <w:spacing w:after="0" w:line="240" w:lineRule="auto"/>
        <w:jc w:val="both"/>
        <w:rPr>
          <w:rFonts w:ascii="Times New Roman" w:eastAsia="Arial" w:hAnsi="Times New Roman"/>
          <w:sz w:val="26"/>
          <w:szCs w:val="26"/>
        </w:rPr>
      </w:pPr>
    </w:p>
    <w:p w:rsidR="00503A01" w:rsidRPr="00503874" w:rsidRDefault="00503A01" w:rsidP="00503A01">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The defense has also been used commonly in the context of fraud type offenses, such as mail fraud, securities fraud, bankruptcy fraud, bank fraud and the like, as well as false statement crimes.</w:t>
      </w:r>
    </w:p>
    <w:p w:rsidR="00503A01" w:rsidRPr="00503874" w:rsidRDefault="00503A01" w:rsidP="00503A01">
      <w:pPr>
        <w:spacing w:after="0" w:line="240" w:lineRule="auto"/>
        <w:jc w:val="both"/>
        <w:rPr>
          <w:rFonts w:ascii="Times New Roman" w:eastAsia="Arial" w:hAnsi="Times New Roman"/>
          <w:sz w:val="26"/>
          <w:szCs w:val="26"/>
        </w:rPr>
      </w:pPr>
    </w:p>
    <w:p w:rsidR="00503A01" w:rsidRPr="00503874" w:rsidRDefault="00503A01" w:rsidP="00503A01">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This instruction should be used, where appropriate, only in cases where “intent” is an element. It is not to be used where it is required only that the defendant acted “knowingly.”</w:t>
      </w:r>
    </w:p>
    <w:p w:rsidR="00503A01" w:rsidRPr="00503874" w:rsidRDefault="00503A01" w:rsidP="00503A01">
      <w:pPr>
        <w:spacing w:after="0" w:line="240" w:lineRule="auto"/>
        <w:jc w:val="both"/>
        <w:rPr>
          <w:rFonts w:ascii="Times New Roman" w:eastAsia="Arial" w:hAnsi="Times New Roman"/>
          <w:sz w:val="26"/>
          <w:szCs w:val="26"/>
        </w:rPr>
      </w:pPr>
    </w:p>
    <w:p w:rsidR="00503A01" w:rsidRPr="00503874" w:rsidRDefault="00503A01" w:rsidP="00503A01">
      <w:pPr>
        <w:spacing w:after="0" w:line="240" w:lineRule="auto"/>
        <w:jc w:val="both"/>
        <w:rPr>
          <w:rFonts w:ascii="Times New Roman" w:eastAsia="Arial" w:hAnsi="Times New Roman"/>
          <w:sz w:val="26"/>
          <w:szCs w:val="26"/>
        </w:rPr>
      </w:pPr>
      <w:r w:rsidRPr="002A0A5B">
        <w:rPr>
          <w:rFonts w:ascii="Times New Roman" w:eastAsia="Arial" w:hAnsi="Times New Roman"/>
          <w:i/>
          <w:sz w:val="26"/>
          <w:szCs w:val="26"/>
        </w:rPr>
        <w:t>See United States v. Eisenstein</w:t>
      </w:r>
      <w:r w:rsidRPr="00503874">
        <w:rPr>
          <w:rFonts w:ascii="Times New Roman" w:eastAsia="Arial" w:hAnsi="Times New Roman"/>
          <w:sz w:val="26"/>
          <w:szCs w:val="26"/>
        </w:rPr>
        <w:t>, 731 F.2d 1540, 1544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1984).</w:t>
      </w:r>
    </w:p>
    <w:p w:rsidR="00503A01" w:rsidRPr="00503874" w:rsidRDefault="00503A01" w:rsidP="00503A01">
      <w:pPr>
        <w:spacing w:after="0" w:line="240" w:lineRule="auto"/>
        <w:jc w:val="both"/>
        <w:rPr>
          <w:rFonts w:ascii="Times New Roman" w:eastAsia="Arial" w:hAnsi="Times New Roman"/>
          <w:sz w:val="26"/>
          <w:szCs w:val="26"/>
        </w:rPr>
      </w:pPr>
    </w:p>
    <w:p w:rsidR="00503A01" w:rsidRPr="00503874" w:rsidRDefault="00503A01" w:rsidP="00503A01">
      <w:pPr>
        <w:spacing w:after="0" w:line="240" w:lineRule="auto"/>
        <w:jc w:val="both"/>
        <w:rPr>
          <w:rFonts w:ascii="Times New Roman" w:eastAsia="Arial" w:hAnsi="Times New Roman"/>
          <w:sz w:val="26"/>
          <w:szCs w:val="26"/>
        </w:rPr>
      </w:pPr>
      <w:r w:rsidRPr="002A0A5B">
        <w:rPr>
          <w:rFonts w:ascii="Times New Roman" w:eastAsia="Arial" w:hAnsi="Times New Roman"/>
          <w:i/>
          <w:sz w:val="26"/>
          <w:szCs w:val="26"/>
        </w:rPr>
        <w:t>See also United States v. Condon</w:t>
      </w:r>
      <w:r w:rsidRPr="00503874">
        <w:rPr>
          <w:rFonts w:ascii="Times New Roman" w:eastAsia="Arial" w:hAnsi="Times New Roman"/>
          <w:sz w:val="26"/>
          <w:szCs w:val="26"/>
        </w:rPr>
        <w:t>, 132 F.3d 653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1998) (describing the circumstances in which a good-faith reliance upon advice of counsel instruction is appropriate).</w:t>
      </w:r>
    </w:p>
    <w:p w:rsidR="00503A01" w:rsidRPr="00503874" w:rsidRDefault="00503A01" w:rsidP="00503A01">
      <w:pPr>
        <w:spacing w:after="0" w:line="240" w:lineRule="auto"/>
        <w:jc w:val="both"/>
        <w:rPr>
          <w:rFonts w:ascii="Times New Roman" w:eastAsia="Arial" w:hAnsi="Times New Roman"/>
          <w:sz w:val="26"/>
          <w:szCs w:val="26"/>
        </w:rPr>
      </w:pPr>
    </w:p>
    <w:p w:rsidR="00725167" w:rsidRPr="00503A01" w:rsidRDefault="00503A01" w:rsidP="00503A01">
      <w:pPr>
        <w:spacing w:after="0" w:line="240" w:lineRule="auto"/>
        <w:jc w:val="both"/>
        <w:rPr>
          <w:rFonts w:ascii="Times New Roman" w:eastAsia="Arial" w:hAnsi="Times New Roman"/>
          <w:sz w:val="26"/>
          <w:szCs w:val="26"/>
        </w:rPr>
      </w:pPr>
      <w:r w:rsidRPr="002A0A5B">
        <w:rPr>
          <w:rFonts w:ascii="Times New Roman" w:eastAsia="Arial" w:hAnsi="Times New Roman"/>
          <w:i/>
          <w:sz w:val="26"/>
          <w:szCs w:val="26"/>
        </w:rPr>
        <w:t>See also United States v. Petrie</w:t>
      </w:r>
      <w:r w:rsidRPr="00503874">
        <w:rPr>
          <w:rFonts w:ascii="Times New Roman" w:eastAsia="Arial" w:hAnsi="Times New Roman"/>
          <w:sz w:val="26"/>
          <w:szCs w:val="26"/>
        </w:rPr>
        <w:t>, 302 F.3d 1280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2002) (the instruction may be applied to the charges of conspiracy to launder money if there is an evidenti</w:t>
      </w:r>
      <w:r>
        <w:rPr>
          <w:rFonts w:ascii="Times New Roman" w:eastAsia="Arial" w:hAnsi="Times New Roman"/>
          <w:sz w:val="26"/>
          <w:szCs w:val="26"/>
        </w:rPr>
        <w:t>ary predicate for the defense).</w:t>
      </w:r>
    </w:p>
    <w:sectPr w:rsidR="00725167" w:rsidRPr="00503A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072" w:rsidRDefault="005C4072" w:rsidP="005C4072">
      <w:pPr>
        <w:spacing w:after="0" w:line="240" w:lineRule="auto"/>
      </w:pPr>
      <w:r>
        <w:separator/>
      </w:r>
    </w:p>
  </w:endnote>
  <w:endnote w:type="continuationSeparator" w:id="0">
    <w:p w:rsidR="005C4072" w:rsidRDefault="005C4072" w:rsidP="005C4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072" w:rsidRDefault="005C4072" w:rsidP="005C4072">
      <w:pPr>
        <w:spacing w:after="0" w:line="240" w:lineRule="auto"/>
      </w:pPr>
      <w:r>
        <w:separator/>
      </w:r>
    </w:p>
  </w:footnote>
  <w:footnote w:type="continuationSeparator" w:id="0">
    <w:p w:rsidR="005C4072" w:rsidRDefault="005C4072" w:rsidP="005C40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35397"/>
    <w:rsid w:val="00157747"/>
    <w:rsid w:val="00194E82"/>
    <w:rsid w:val="001E5B53"/>
    <w:rsid w:val="00245EF2"/>
    <w:rsid w:val="002604B9"/>
    <w:rsid w:val="002A0A5B"/>
    <w:rsid w:val="003067A0"/>
    <w:rsid w:val="004C148A"/>
    <w:rsid w:val="00503A01"/>
    <w:rsid w:val="00511CE4"/>
    <w:rsid w:val="0056064A"/>
    <w:rsid w:val="005C4072"/>
    <w:rsid w:val="005C4DB9"/>
    <w:rsid w:val="00615301"/>
    <w:rsid w:val="006179FB"/>
    <w:rsid w:val="00632C46"/>
    <w:rsid w:val="00725167"/>
    <w:rsid w:val="00780FDD"/>
    <w:rsid w:val="00783A2A"/>
    <w:rsid w:val="007B29B1"/>
    <w:rsid w:val="0081575C"/>
    <w:rsid w:val="008B4118"/>
    <w:rsid w:val="008E4BA2"/>
    <w:rsid w:val="009458BA"/>
    <w:rsid w:val="009F5DAD"/>
    <w:rsid w:val="00A355FD"/>
    <w:rsid w:val="00A66EA6"/>
    <w:rsid w:val="00AA01A6"/>
    <w:rsid w:val="00AC24E2"/>
    <w:rsid w:val="00AE20D4"/>
    <w:rsid w:val="00AF2C77"/>
    <w:rsid w:val="00B85D99"/>
    <w:rsid w:val="00B930F5"/>
    <w:rsid w:val="00BA1F2B"/>
    <w:rsid w:val="00BE645C"/>
    <w:rsid w:val="00CD51F7"/>
    <w:rsid w:val="00CD734E"/>
    <w:rsid w:val="00CE7DC5"/>
    <w:rsid w:val="00CF4F9A"/>
    <w:rsid w:val="00D163A7"/>
    <w:rsid w:val="00D7262F"/>
    <w:rsid w:val="00DA00D9"/>
    <w:rsid w:val="00DC18AE"/>
    <w:rsid w:val="00DE7E97"/>
    <w:rsid w:val="00E31401"/>
    <w:rsid w:val="00E42DFC"/>
    <w:rsid w:val="00E627E0"/>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C4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072"/>
  </w:style>
  <w:style w:type="paragraph" w:styleId="Footer">
    <w:name w:val="footer"/>
    <w:basedOn w:val="Normal"/>
    <w:link w:val="FooterChar"/>
    <w:uiPriority w:val="99"/>
    <w:unhideWhenUsed/>
    <w:rsid w:val="005C40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0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C4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072"/>
  </w:style>
  <w:style w:type="paragraph" w:styleId="Footer">
    <w:name w:val="footer"/>
    <w:basedOn w:val="Normal"/>
    <w:link w:val="FooterChar"/>
    <w:uiPriority w:val="99"/>
    <w:unhideWhenUsed/>
    <w:rsid w:val="005C40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2014-03-31T21:15:00Z</dcterms:created>
  <dcterms:modified xsi:type="dcterms:W3CDTF">2014-06-16T19:54:00Z</dcterms:modified>
</cp:coreProperties>
</file>