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52A" w:rsidRPr="00503874" w:rsidRDefault="0002352A" w:rsidP="0002352A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  <w:r w:rsidRPr="00503874">
        <w:rPr>
          <w:rFonts w:ascii="Times New Roman" w:eastAsia="Arial" w:hAnsi="Times New Roman"/>
          <w:b/>
          <w:sz w:val="26"/>
          <w:szCs w:val="26"/>
          <w:u w:val="single"/>
        </w:rPr>
        <w:t>ANNOTATIONS AND COMMENTS</w:t>
      </w:r>
    </w:p>
    <w:p w:rsidR="0002352A" w:rsidRPr="00503874" w:rsidRDefault="0002352A" w:rsidP="0002352A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</w:p>
    <w:p w:rsidR="0002352A" w:rsidRDefault="001B6B50" w:rsidP="0002352A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  <w:proofErr w:type="gramStart"/>
      <w:r w:rsidRPr="001B6B50">
        <w:rPr>
          <w:rFonts w:ascii="Times New Roman" w:eastAsia="Arial" w:hAnsi="Times New Roman"/>
          <w:sz w:val="26"/>
          <w:szCs w:val="26"/>
        </w:rPr>
        <w:t>Rule 404.</w:t>
      </w:r>
      <w:proofErr w:type="gramEnd"/>
      <w:r w:rsidRPr="001B6B50">
        <w:rPr>
          <w:rFonts w:ascii="Times New Roman" w:eastAsia="Arial" w:hAnsi="Times New Roman"/>
          <w:sz w:val="26"/>
          <w:szCs w:val="26"/>
        </w:rPr>
        <w:t xml:space="preserve"> </w:t>
      </w:r>
      <w:proofErr w:type="gramStart"/>
      <w:r w:rsidRPr="001B6B50">
        <w:rPr>
          <w:rFonts w:ascii="Times New Roman" w:eastAsia="Arial" w:hAnsi="Times New Roman"/>
          <w:sz w:val="26"/>
          <w:szCs w:val="26"/>
        </w:rPr>
        <w:t>[Fed.</w:t>
      </w:r>
      <w:proofErr w:type="gramEnd"/>
      <w:r w:rsidRPr="001B6B50">
        <w:rPr>
          <w:rFonts w:ascii="Times New Roman" w:eastAsia="Arial" w:hAnsi="Times New Roman"/>
          <w:sz w:val="26"/>
          <w:szCs w:val="26"/>
        </w:rPr>
        <w:t xml:space="preserve"> R. </w:t>
      </w:r>
      <w:proofErr w:type="spellStart"/>
      <w:r w:rsidRPr="001B6B50">
        <w:rPr>
          <w:rFonts w:ascii="Times New Roman" w:eastAsia="Arial" w:hAnsi="Times New Roman"/>
          <w:sz w:val="26"/>
          <w:szCs w:val="26"/>
        </w:rPr>
        <w:t>Evid</w:t>
      </w:r>
      <w:proofErr w:type="spellEnd"/>
      <w:r w:rsidRPr="001B6B50">
        <w:rPr>
          <w:rFonts w:ascii="Times New Roman" w:eastAsia="Arial" w:hAnsi="Times New Roman"/>
          <w:sz w:val="26"/>
          <w:szCs w:val="26"/>
        </w:rPr>
        <w:t>.]  Character Evidence</w:t>
      </w:r>
      <w:r w:rsidR="002342D4">
        <w:rPr>
          <w:rFonts w:ascii="Times New Roman" w:eastAsia="Arial" w:hAnsi="Times New Roman"/>
          <w:sz w:val="26"/>
          <w:szCs w:val="26"/>
        </w:rPr>
        <w:t xml:space="preserve">; </w:t>
      </w:r>
      <w:r w:rsidRPr="001B6B50">
        <w:rPr>
          <w:rFonts w:ascii="Times New Roman" w:eastAsia="Arial" w:hAnsi="Times New Roman"/>
          <w:sz w:val="26"/>
          <w:szCs w:val="26"/>
        </w:rPr>
        <w:t>Crimes</w:t>
      </w:r>
      <w:r w:rsidR="002342D4">
        <w:rPr>
          <w:rFonts w:ascii="Times New Roman" w:eastAsia="Arial" w:hAnsi="Times New Roman"/>
          <w:sz w:val="26"/>
          <w:szCs w:val="26"/>
        </w:rPr>
        <w:t xml:space="preserve"> or Other Acts</w:t>
      </w:r>
    </w:p>
    <w:p w:rsidR="001B6B50" w:rsidRDefault="001B6B50" w:rsidP="0002352A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</w:p>
    <w:p w:rsidR="001B6B50" w:rsidRDefault="001B6B50" w:rsidP="001B6B50">
      <w:pPr>
        <w:jc w:val="center"/>
      </w:pPr>
      <w:r>
        <w:t>*  *  *  *  *</w:t>
      </w:r>
    </w:p>
    <w:p w:rsidR="000C2E64" w:rsidRPr="00CB2BD5" w:rsidRDefault="000C2E64" w:rsidP="00CB2BD5">
      <w:pPr>
        <w:pStyle w:val="statutory-body"/>
        <w:shd w:val="clear" w:color="auto" w:fill="FFFFFF"/>
        <w:spacing w:before="0" w:beforeAutospacing="0" w:after="150" w:afterAutospacing="0"/>
        <w:ind w:left="720" w:right="720"/>
        <w:rPr>
          <w:color w:val="333333"/>
          <w:sz w:val="26"/>
          <w:szCs w:val="26"/>
        </w:rPr>
      </w:pPr>
      <w:r w:rsidRPr="00CB2BD5">
        <w:rPr>
          <w:bCs/>
          <w:color w:val="333333"/>
          <w:sz w:val="26"/>
          <w:szCs w:val="26"/>
        </w:rPr>
        <w:t>(b) Crimes, Wrongs, or Other Acts.</w:t>
      </w:r>
    </w:p>
    <w:p w:rsidR="000C2E64" w:rsidRDefault="000C2E64" w:rsidP="00CB2BD5">
      <w:pPr>
        <w:pStyle w:val="statutory-body-1em"/>
        <w:shd w:val="clear" w:color="auto" w:fill="FFFFFF"/>
        <w:spacing w:before="0" w:beforeAutospacing="0" w:after="150" w:afterAutospacing="0"/>
        <w:ind w:left="720" w:right="720" w:firstLine="240"/>
        <w:rPr>
          <w:color w:val="333333"/>
          <w:sz w:val="26"/>
          <w:szCs w:val="26"/>
        </w:rPr>
      </w:pPr>
      <w:r>
        <w:rPr>
          <w:bCs/>
          <w:color w:val="333333"/>
          <w:sz w:val="26"/>
          <w:szCs w:val="26"/>
        </w:rPr>
        <w:t xml:space="preserve">(1) </w:t>
      </w:r>
      <w:r>
        <w:rPr>
          <w:bCs/>
          <w:iCs/>
          <w:color w:val="333333"/>
          <w:sz w:val="26"/>
          <w:szCs w:val="26"/>
        </w:rPr>
        <w:t>Prohibited Uses</w:t>
      </w:r>
      <w:r>
        <w:rPr>
          <w:bCs/>
          <w:color w:val="333333"/>
          <w:sz w:val="26"/>
          <w:szCs w:val="26"/>
        </w:rPr>
        <w:t>.</w:t>
      </w:r>
      <w:r>
        <w:rPr>
          <w:color w:val="333333"/>
          <w:sz w:val="26"/>
          <w:szCs w:val="26"/>
        </w:rPr>
        <w:t xml:space="preserve"> Evidence of</w:t>
      </w:r>
      <w:bookmarkStart w:id="0" w:name="_GoBack"/>
      <w:bookmarkEnd w:id="0"/>
      <w:r>
        <w:rPr>
          <w:color w:val="333333"/>
          <w:sz w:val="26"/>
          <w:szCs w:val="26"/>
        </w:rPr>
        <w:t xml:space="preserve"> a crime, wrong, or other act is not admissible to prove a person’s character in order to show that on a particular occasion the person acted in accordance with the character.</w:t>
      </w:r>
    </w:p>
    <w:p w:rsidR="000C2E64" w:rsidRDefault="000C2E64" w:rsidP="00CB2BD5">
      <w:pPr>
        <w:pStyle w:val="statutory-body-1em"/>
        <w:shd w:val="clear" w:color="auto" w:fill="FFFFFF"/>
        <w:spacing w:before="0" w:beforeAutospacing="0" w:after="150" w:afterAutospacing="0"/>
        <w:ind w:left="720" w:right="720" w:firstLine="240"/>
        <w:rPr>
          <w:color w:val="333333"/>
          <w:sz w:val="26"/>
          <w:szCs w:val="26"/>
        </w:rPr>
      </w:pPr>
      <w:r>
        <w:rPr>
          <w:bCs/>
          <w:color w:val="333333"/>
          <w:sz w:val="26"/>
          <w:szCs w:val="26"/>
        </w:rPr>
        <w:t xml:space="preserve">(2) </w:t>
      </w:r>
      <w:r>
        <w:rPr>
          <w:bCs/>
          <w:iCs/>
          <w:color w:val="333333"/>
          <w:sz w:val="26"/>
          <w:szCs w:val="26"/>
        </w:rPr>
        <w:t>Permitted Uses; Notice in a Criminal Case</w:t>
      </w:r>
      <w:r>
        <w:rPr>
          <w:bCs/>
          <w:color w:val="333333"/>
          <w:sz w:val="26"/>
          <w:szCs w:val="26"/>
        </w:rPr>
        <w:t>.</w:t>
      </w:r>
      <w:r>
        <w:rPr>
          <w:color w:val="333333"/>
          <w:sz w:val="26"/>
          <w:szCs w:val="26"/>
        </w:rPr>
        <w:t xml:space="preserve"> This evidence may be admissible for another purpose, such as proving motive, opportunity, intent, preparation, plan, knowledge, identity, absence of mistake, or lack of accident. On request by a defendant in a criminal case, the prosecutor must:</w:t>
      </w:r>
    </w:p>
    <w:p w:rsidR="000C2E64" w:rsidRDefault="000C2E64" w:rsidP="00CB2BD5">
      <w:pPr>
        <w:pStyle w:val="statutory-body-2em"/>
        <w:shd w:val="clear" w:color="auto" w:fill="FFFFFF"/>
        <w:spacing w:before="0" w:beforeAutospacing="0" w:after="150" w:afterAutospacing="0"/>
        <w:ind w:left="720" w:right="720" w:firstLine="240"/>
        <w:rPr>
          <w:color w:val="333333"/>
          <w:sz w:val="26"/>
          <w:szCs w:val="26"/>
        </w:rPr>
      </w:pPr>
      <w:r>
        <w:rPr>
          <w:bCs/>
          <w:color w:val="333333"/>
          <w:sz w:val="26"/>
          <w:szCs w:val="26"/>
        </w:rPr>
        <w:t>(A)</w:t>
      </w:r>
      <w:r>
        <w:rPr>
          <w:color w:val="333333"/>
          <w:sz w:val="26"/>
          <w:szCs w:val="26"/>
        </w:rPr>
        <w:t xml:space="preserve"> </w:t>
      </w:r>
      <w:proofErr w:type="gramStart"/>
      <w:r>
        <w:rPr>
          <w:color w:val="333333"/>
          <w:sz w:val="26"/>
          <w:szCs w:val="26"/>
        </w:rPr>
        <w:t>provide</w:t>
      </w:r>
      <w:proofErr w:type="gramEnd"/>
      <w:r>
        <w:rPr>
          <w:color w:val="333333"/>
          <w:sz w:val="26"/>
          <w:szCs w:val="26"/>
        </w:rPr>
        <w:t xml:space="preserve"> reasonable notice of the general nature of any such evidence that the prosecutor intends to offer at trial; and</w:t>
      </w:r>
    </w:p>
    <w:p w:rsidR="001B6B50" w:rsidRPr="00503874" w:rsidRDefault="000C2E64" w:rsidP="00CB2BD5">
      <w:pPr>
        <w:spacing w:after="0" w:line="240" w:lineRule="auto"/>
        <w:ind w:left="720" w:right="720" w:firstLine="240"/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hAnsi="Times New Roman" w:cs="Times New Roman"/>
          <w:bCs/>
          <w:color w:val="333333"/>
          <w:sz w:val="26"/>
          <w:szCs w:val="26"/>
        </w:rPr>
        <w:t>(B)</w:t>
      </w:r>
      <w:r>
        <w:rPr>
          <w:color w:val="333333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color w:val="333333"/>
          <w:sz w:val="26"/>
          <w:szCs w:val="26"/>
        </w:rPr>
        <w:t>do</w:t>
      </w:r>
      <w:proofErr w:type="gramEnd"/>
      <w:r>
        <w:rPr>
          <w:rFonts w:ascii="Times New Roman" w:hAnsi="Times New Roman" w:cs="Times New Roman"/>
          <w:color w:val="333333"/>
          <w:sz w:val="26"/>
          <w:szCs w:val="26"/>
        </w:rPr>
        <w:t xml:space="preserve"> so before trial — or during trial if the court, for good cause, excuses lack of pretrial notice.</w:t>
      </w:r>
    </w:p>
    <w:p w:rsidR="0002352A" w:rsidRPr="00503874" w:rsidRDefault="0002352A" w:rsidP="0002352A">
      <w:pPr>
        <w:spacing w:after="0" w:line="240" w:lineRule="auto"/>
        <w:ind w:right="360"/>
        <w:jc w:val="both"/>
        <w:rPr>
          <w:rFonts w:ascii="Times New Roman" w:eastAsia="Arial" w:hAnsi="Times New Roman"/>
          <w:sz w:val="26"/>
          <w:szCs w:val="26"/>
          <w:highlight w:val="lightGray"/>
        </w:rPr>
      </w:pPr>
    </w:p>
    <w:p w:rsidR="001B6B50" w:rsidRPr="001B6B50" w:rsidRDefault="001B6B50" w:rsidP="001B6B50">
      <w:pPr>
        <w:jc w:val="both"/>
        <w:rPr>
          <w:rFonts w:ascii="Times New Roman" w:hAnsi="Times New Roman" w:cs="Times New Roman"/>
          <w:sz w:val="26"/>
          <w:szCs w:val="26"/>
        </w:rPr>
      </w:pPr>
      <w:r w:rsidRPr="001B6B50">
        <w:rPr>
          <w:rFonts w:ascii="Times New Roman" w:hAnsi="Times New Roman" w:cs="Times New Roman"/>
          <w:i/>
          <w:sz w:val="26"/>
          <w:szCs w:val="26"/>
        </w:rPr>
        <w:t xml:space="preserve">United States v. </w:t>
      </w:r>
      <w:proofErr w:type="spellStart"/>
      <w:r w:rsidRPr="001B6B50">
        <w:rPr>
          <w:rFonts w:ascii="Times New Roman" w:hAnsi="Times New Roman" w:cs="Times New Roman"/>
          <w:i/>
          <w:sz w:val="26"/>
          <w:szCs w:val="26"/>
        </w:rPr>
        <w:t>Beechum</w:t>
      </w:r>
      <w:proofErr w:type="spellEnd"/>
      <w:r w:rsidRPr="001B6B50">
        <w:rPr>
          <w:rFonts w:ascii="Times New Roman" w:hAnsi="Times New Roman" w:cs="Times New Roman"/>
          <w:sz w:val="26"/>
          <w:szCs w:val="26"/>
        </w:rPr>
        <w:t>, 582 F.2d 898 (5th Cir. 1978) (</w:t>
      </w:r>
      <w:proofErr w:type="spellStart"/>
      <w:r w:rsidRPr="001B6B50">
        <w:rPr>
          <w:rFonts w:ascii="Times New Roman" w:hAnsi="Times New Roman" w:cs="Times New Roman"/>
          <w:sz w:val="26"/>
          <w:szCs w:val="26"/>
        </w:rPr>
        <w:t>en</w:t>
      </w:r>
      <w:proofErr w:type="spellEnd"/>
      <w:r w:rsidRPr="001B6B50">
        <w:rPr>
          <w:rFonts w:ascii="Times New Roman" w:hAnsi="Times New Roman" w:cs="Times New Roman"/>
          <w:sz w:val="26"/>
          <w:szCs w:val="26"/>
        </w:rPr>
        <w:t xml:space="preserve"> banc), </w:t>
      </w:r>
      <w:r w:rsidRPr="001B6B50">
        <w:rPr>
          <w:rFonts w:ascii="Times New Roman" w:hAnsi="Times New Roman" w:cs="Times New Roman"/>
          <w:i/>
          <w:sz w:val="26"/>
          <w:szCs w:val="26"/>
        </w:rPr>
        <w:t>cert. denied</w:t>
      </w:r>
      <w:r w:rsidRPr="001B6B50">
        <w:rPr>
          <w:rFonts w:ascii="Times New Roman" w:hAnsi="Times New Roman" w:cs="Times New Roman"/>
          <w:sz w:val="26"/>
          <w:szCs w:val="26"/>
        </w:rPr>
        <w:t xml:space="preserve">, 440 U.S. 920 (1979), discusses at length the tests to be applied in admitting or excluding evidence under Rule 404(b); and, more specifically, the different standards that apply depending upon the purpose of the evidence, i.e., to show intent versus identity, for example.  </w:t>
      </w:r>
      <w:r w:rsidRPr="001B6B50">
        <w:rPr>
          <w:rFonts w:ascii="Times New Roman" w:hAnsi="Times New Roman" w:cs="Times New Roman"/>
          <w:i/>
          <w:sz w:val="26"/>
          <w:szCs w:val="26"/>
        </w:rPr>
        <w:t>See id</w:t>
      </w:r>
      <w:r w:rsidRPr="001B6B50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1B6B50">
        <w:rPr>
          <w:rFonts w:ascii="Times New Roman" w:hAnsi="Times New Roman" w:cs="Times New Roman"/>
          <w:sz w:val="26"/>
          <w:szCs w:val="26"/>
        </w:rPr>
        <w:t>at</w:t>
      </w:r>
      <w:proofErr w:type="gramEnd"/>
      <w:r w:rsidRPr="001B6B50">
        <w:rPr>
          <w:rFonts w:ascii="Times New Roman" w:hAnsi="Times New Roman" w:cs="Times New Roman"/>
          <w:sz w:val="26"/>
          <w:szCs w:val="26"/>
        </w:rPr>
        <w:t xml:space="preserve"> 911 n.15.</w:t>
      </w:r>
    </w:p>
    <w:p w:rsidR="001B6B50" w:rsidRPr="001B6B50" w:rsidRDefault="001B6B50" w:rsidP="001B6B50">
      <w:pPr>
        <w:jc w:val="both"/>
        <w:rPr>
          <w:rFonts w:ascii="Times New Roman" w:hAnsi="Times New Roman" w:cs="Times New Roman"/>
          <w:sz w:val="26"/>
          <w:szCs w:val="26"/>
        </w:rPr>
      </w:pPr>
      <w:r w:rsidRPr="001B6B50">
        <w:rPr>
          <w:rFonts w:ascii="Times New Roman" w:hAnsi="Times New Roman" w:cs="Times New Roman"/>
          <w:sz w:val="26"/>
          <w:szCs w:val="26"/>
        </w:rPr>
        <w:t xml:space="preserve">Both the Supreme Court and the Eleventh Circuit have expressly endorsed the </w:t>
      </w:r>
      <w:proofErr w:type="spellStart"/>
      <w:r w:rsidRPr="001B6B50">
        <w:rPr>
          <w:rFonts w:ascii="Times New Roman" w:hAnsi="Times New Roman" w:cs="Times New Roman"/>
          <w:i/>
          <w:sz w:val="26"/>
          <w:szCs w:val="26"/>
        </w:rPr>
        <w:t>Beechum</w:t>
      </w:r>
      <w:proofErr w:type="spellEnd"/>
      <w:r w:rsidRPr="001B6B5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1B6B50">
        <w:rPr>
          <w:rFonts w:ascii="Times New Roman" w:hAnsi="Times New Roman" w:cs="Times New Roman"/>
          <w:sz w:val="26"/>
          <w:szCs w:val="26"/>
        </w:rPr>
        <w:t>test</w:t>
      </w:r>
      <w:r w:rsidRPr="001B6B50">
        <w:rPr>
          <w:rFonts w:ascii="Times New Roman" w:hAnsi="Times New Roman" w:cs="Times New Roman"/>
          <w:i/>
          <w:sz w:val="26"/>
          <w:szCs w:val="26"/>
        </w:rPr>
        <w:t>. Huddleston v. United States</w:t>
      </w:r>
      <w:r w:rsidRPr="001B6B50">
        <w:rPr>
          <w:rFonts w:ascii="Times New Roman" w:hAnsi="Times New Roman" w:cs="Times New Roman"/>
          <w:sz w:val="26"/>
          <w:szCs w:val="26"/>
        </w:rPr>
        <w:t xml:space="preserve">, 485 U.S. 681 (1988); </w:t>
      </w:r>
      <w:r w:rsidRPr="001B6B50">
        <w:rPr>
          <w:rFonts w:ascii="Times New Roman" w:hAnsi="Times New Roman" w:cs="Times New Roman"/>
          <w:i/>
          <w:sz w:val="26"/>
          <w:szCs w:val="26"/>
        </w:rPr>
        <w:t>United States v. Miller</w:t>
      </w:r>
      <w:r w:rsidRPr="001B6B50">
        <w:rPr>
          <w:rFonts w:ascii="Times New Roman" w:hAnsi="Times New Roman" w:cs="Times New Roman"/>
          <w:sz w:val="26"/>
          <w:szCs w:val="26"/>
        </w:rPr>
        <w:t>, 959 F.2d 1535 (11th Cir. 1992) (</w:t>
      </w:r>
      <w:proofErr w:type="spellStart"/>
      <w:r w:rsidRPr="001B6B50">
        <w:rPr>
          <w:rFonts w:ascii="Times New Roman" w:hAnsi="Times New Roman" w:cs="Times New Roman"/>
          <w:sz w:val="26"/>
          <w:szCs w:val="26"/>
        </w:rPr>
        <w:t>en</w:t>
      </w:r>
      <w:proofErr w:type="spellEnd"/>
      <w:r w:rsidRPr="001B6B50">
        <w:rPr>
          <w:rFonts w:ascii="Times New Roman" w:hAnsi="Times New Roman" w:cs="Times New Roman"/>
          <w:sz w:val="26"/>
          <w:szCs w:val="26"/>
        </w:rPr>
        <w:t xml:space="preserve"> banc), </w:t>
      </w:r>
      <w:r w:rsidRPr="001B6B50">
        <w:rPr>
          <w:rFonts w:ascii="Times New Roman" w:hAnsi="Times New Roman" w:cs="Times New Roman"/>
          <w:i/>
          <w:sz w:val="26"/>
          <w:szCs w:val="26"/>
        </w:rPr>
        <w:t>cert. denied</w:t>
      </w:r>
      <w:r w:rsidRPr="001B6B50">
        <w:rPr>
          <w:rFonts w:ascii="Times New Roman" w:hAnsi="Times New Roman" w:cs="Times New Roman"/>
          <w:sz w:val="26"/>
          <w:szCs w:val="26"/>
        </w:rPr>
        <w:t>, 506 U.S. 942 (1992).</w:t>
      </w:r>
    </w:p>
    <w:sectPr w:rsidR="001B6B50" w:rsidRPr="001B6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DFE" w:rsidRDefault="00693DFE" w:rsidP="00693DFE">
      <w:pPr>
        <w:spacing w:after="0" w:line="240" w:lineRule="auto"/>
      </w:pPr>
      <w:r>
        <w:separator/>
      </w:r>
    </w:p>
  </w:endnote>
  <w:endnote w:type="continuationSeparator" w:id="0">
    <w:p w:rsidR="00693DFE" w:rsidRDefault="00693DFE" w:rsidP="00693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DFE" w:rsidRDefault="00693DFE" w:rsidP="00693DFE">
      <w:pPr>
        <w:spacing w:after="0" w:line="240" w:lineRule="auto"/>
      </w:pPr>
      <w:r>
        <w:separator/>
      </w:r>
    </w:p>
  </w:footnote>
  <w:footnote w:type="continuationSeparator" w:id="0">
    <w:p w:rsidR="00693DFE" w:rsidRDefault="00693DFE" w:rsidP="00693D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E82"/>
    <w:rsid w:val="00014B03"/>
    <w:rsid w:val="0002352A"/>
    <w:rsid w:val="000256FD"/>
    <w:rsid w:val="0003583F"/>
    <w:rsid w:val="0005723A"/>
    <w:rsid w:val="0006716B"/>
    <w:rsid w:val="00091548"/>
    <w:rsid w:val="000C2E64"/>
    <w:rsid w:val="000C32C1"/>
    <w:rsid w:val="00110446"/>
    <w:rsid w:val="001217D5"/>
    <w:rsid w:val="0012744C"/>
    <w:rsid w:val="00135397"/>
    <w:rsid w:val="00157747"/>
    <w:rsid w:val="00194E82"/>
    <w:rsid w:val="001B6B50"/>
    <w:rsid w:val="001E5B53"/>
    <w:rsid w:val="002329BF"/>
    <w:rsid w:val="00233997"/>
    <w:rsid w:val="002342D4"/>
    <w:rsid w:val="00236275"/>
    <w:rsid w:val="00245EF2"/>
    <w:rsid w:val="002604B9"/>
    <w:rsid w:val="003067A0"/>
    <w:rsid w:val="003A75E9"/>
    <w:rsid w:val="003D6207"/>
    <w:rsid w:val="00406A43"/>
    <w:rsid w:val="00465F35"/>
    <w:rsid w:val="004A354F"/>
    <w:rsid w:val="004C148A"/>
    <w:rsid w:val="00503A01"/>
    <w:rsid w:val="00511CE4"/>
    <w:rsid w:val="0056064A"/>
    <w:rsid w:val="00586722"/>
    <w:rsid w:val="005B45D9"/>
    <w:rsid w:val="005C4DB9"/>
    <w:rsid w:val="00615301"/>
    <w:rsid w:val="006179FB"/>
    <w:rsid w:val="00632C46"/>
    <w:rsid w:val="00636B96"/>
    <w:rsid w:val="00693DFE"/>
    <w:rsid w:val="006B1FC0"/>
    <w:rsid w:val="00725167"/>
    <w:rsid w:val="00780FDD"/>
    <w:rsid w:val="00783A2A"/>
    <w:rsid w:val="007C4B9C"/>
    <w:rsid w:val="007F40B8"/>
    <w:rsid w:val="0081575C"/>
    <w:rsid w:val="008A442C"/>
    <w:rsid w:val="008B4118"/>
    <w:rsid w:val="008C025F"/>
    <w:rsid w:val="008E0F69"/>
    <w:rsid w:val="008E221D"/>
    <w:rsid w:val="008E4BA2"/>
    <w:rsid w:val="008E7C9B"/>
    <w:rsid w:val="009458BA"/>
    <w:rsid w:val="009745AC"/>
    <w:rsid w:val="009F5DAD"/>
    <w:rsid w:val="00A355FD"/>
    <w:rsid w:val="00A451E6"/>
    <w:rsid w:val="00A66EA6"/>
    <w:rsid w:val="00AA01A6"/>
    <w:rsid w:val="00AA4174"/>
    <w:rsid w:val="00AC24E2"/>
    <w:rsid w:val="00AE0F43"/>
    <w:rsid w:val="00AE20D4"/>
    <w:rsid w:val="00AF2C77"/>
    <w:rsid w:val="00B111CD"/>
    <w:rsid w:val="00B85D99"/>
    <w:rsid w:val="00B930F5"/>
    <w:rsid w:val="00BA1F2B"/>
    <w:rsid w:val="00BD01A4"/>
    <w:rsid w:val="00BE645C"/>
    <w:rsid w:val="00C1091D"/>
    <w:rsid w:val="00CB2BD5"/>
    <w:rsid w:val="00CC4195"/>
    <w:rsid w:val="00CD51F7"/>
    <w:rsid w:val="00CD734E"/>
    <w:rsid w:val="00CE7DC5"/>
    <w:rsid w:val="00CF4F9A"/>
    <w:rsid w:val="00D163A7"/>
    <w:rsid w:val="00D316CC"/>
    <w:rsid w:val="00D513C4"/>
    <w:rsid w:val="00D7262F"/>
    <w:rsid w:val="00DA00D9"/>
    <w:rsid w:val="00DB2D88"/>
    <w:rsid w:val="00DC18AE"/>
    <w:rsid w:val="00DE7E97"/>
    <w:rsid w:val="00DE7F68"/>
    <w:rsid w:val="00E109DF"/>
    <w:rsid w:val="00E20CB0"/>
    <w:rsid w:val="00E31401"/>
    <w:rsid w:val="00E419F1"/>
    <w:rsid w:val="00E42DFC"/>
    <w:rsid w:val="00E627E0"/>
    <w:rsid w:val="00E85563"/>
    <w:rsid w:val="00EA08A4"/>
    <w:rsid w:val="00EB1384"/>
    <w:rsid w:val="00F27B7F"/>
    <w:rsid w:val="00FA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E82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4"/>
    <w:qFormat/>
    <w:rsid w:val="005C4D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93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DFE"/>
  </w:style>
  <w:style w:type="paragraph" w:styleId="Footer">
    <w:name w:val="footer"/>
    <w:basedOn w:val="Normal"/>
    <w:link w:val="FooterChar"/>
    <w:uiPriority w:val="99"/>
    <w:unhideWhenUsed/>
    <w:rsid w:val="00693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DFE"/>
  </w:style>
  <w:style w:type="paragraph" w:customStyle="1" w:styleId="statutory-body">
    <w:name w:val="statutory-body"/>
    <w:basedOn w:val="Normal"/>
    <w:rsid w:val="000C2E64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tutory-body-1em">
    <w:name w:val="statutory-body-1em"/>
    <w:basedOn w:val="Normal"/>
    <w:rsid w:val="000C2E64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tutory-body-2em">
    <w:name w:val="statutory-body-2em"/>
    <w:basedOn w:val="Normal"/>
    <w:rsid w:val="000C2E64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2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E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E82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4"/>
    <w:qFormat/>
    <w:rsid w:val="005C4D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93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DFE"/>
  </w:style>
  <w:style w:type="paragraph" w:styleId="Footer">
    <w:name w:val="footer"/>
    <w:basedOn w:val="Normal"/>
    <w:link w:val="FooterChar"/>
    <w:uiPriority w:val="99"/>
    <w:unhideWhenUsed/>
    <w:rsid w:val="00693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DFE"/>
  </w:style>
  <w:style w:type="paragraph" w:customStyle="1" w:styleId="statutory-body">
    <w:name w:val="statutory-body"/>
    <w:basedOn w:val="Normal"/>
    <w:rsid w:val="000C2E64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tutory-body-1em">
    <w:name w:val="statutory-body-1em"/>
    <w:basedOn w:val="Normal"/>
    <w:rsid w:val="000C2E64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tutory-body-2em">
    <w:name w:val="statutory-body-2em"/>
    <w:basedOn w:val="Normal"/>
    <w:rsid w:val="000C2E64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2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E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8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DFD01-1F8C-4BE0-88E6-AAEE8152C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2017-11-29T14:20:00Z</dcterms:created>
  <dcterms:modified xsi:type="dcterms:W3CDTF">2017-11-29T14:20:00Z</dcterms:modified>
</cp:coreProperties>
</file>