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37047" w14:textId="5E3AACD2" w:rsidR="004F3D17" w:rsidRPr="005E551C" w:rsidRDefault="004F3D17" w:rsidP="005E551C">
      <w:pPr>
        <w:spacing w:after="20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7C06E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ANNOTATIONS AND COMMENTS </w:t>
      </w:r>
    </w:p>
    <w:p w14:paraId="1703B4E4" w14:textId="7F042CE1" w:rsidR="004F3D17" w:rsidRPr="007C06EA" w:rsidRDefault="004F3D17" w:rsidP="005E551C">
      <w:pPr>
        <w:spacing w:after="200" w:line="240" w:lineRule="auto"/>
        <w:ind w:left="720" w:right="-720"/>
        <w:jc w:val="both"/>
        <w:rPr>
          <w:rFonts w:ascii="Times New Roman" w:hAnsi="Times New Roman" w:cs="Times New Roman"/>
          <w:sz w:val="26"/>
          <w:szCs w:val="26"/>
        </w:rPr>
      </w:pPr>
      <w:r w:rsidRPr="007C06EA">
        <w:rPr>
          <w:rFonts w:ascii="Times New Roman" w:hAnsi="Times New Roman" w:cs="Times New Roman"/>
          <w:sz w:val="26"/>
          <w:szCs w:val="26"/>
        </w:rPr>
        <w:t xml:space="preserve">Rule 404. [Fed. R. Evid.] Character Evidence; Crimes or Other Acts </w:t>
      </w:r>
    </w:p>
    <w:p w14:paraId="089D8A7F" w14:textId="28592599" w:rsidR="004F3D17" w:rsidRPr="007C06EA" w:rsidRDefault="004F3D17" w:rsidP="005E551C">
      <w:pPr>
        <w:spacing w:after="2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C06EA">
        <w:rPr>
          <w:rFonts w:ascii="Times New Roman" w:hAnsi="Times New Roman" w:cs="Times New Roman"/>
          <w:sz w:val="26"/>
          <w:szCs w:val="26"/>
        </w:rPr>
        <w:t>* * * * *</w:t>
      </w:r>
    </w:p>
    <w:bookmarkStart w:id="0" w:name="_Hlk94538791"/>
    <w:p w14:paraId="1ED6DE5D" w14:textId="3D21D3C6" w:rsidR="004F3D17" w:rsidRPr="007C06EA" w:rsidRDefault="005E551C" w:rsidP="004F3D17">
      <w:pPr>
        <w:spacing w:after="0" w:line="240" w:lineRule="auto"/>
        <w:ind w:left="720" w:righ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fldChar w:fldCharType="begin"/>
      </w:r>
      <w:r>
        <w:rPr>
          <w:rFonts w:ascii="Times New Roman" w:hAnsi="Times New Roman" w:cs="Times New Roman"/>
          <w:sz w:val="26"/>
          <w:szCs w:val="26"/>
        </w:rPr>
        <w:instrText xml:space="preserve"> LISTNUM  \l 5 \s 2 </w:instrTex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 w:rsidR="004F3D17" w:rsidRPr="007C06EA">
        <w:rPr>
          <w:rFonts w:ascii="Times New Roman" w:hAnsi="Times New Roman" w:cs="Times New Roman"/>
          <w:sz w:val="26"/>
          <w:szCs w:val="26"/>
        </w:rPr>
        <w:t xml:space="preserve"> Other Crimes, Wrongs, or Acts. </w:t>
      </w:r>
    </w:p>
    <w:p w14:paraId="341D606A" w14:textId="3991C1C5" w:rsidR="004F3D17" w:rsidRPr="007C06EA" w:rsidRDefault="005E551C" w:rsidP="004F3D17">
      <w:pPr>
        <w:spacing w:after="0" w:line="240" w:lineRule="auto"/>
        <w:ind w:left="720" w:right="72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fldChar w:fldCharType="begin"/>
      </w:r>
      <w:r>
        <w:rPr>
          <w:rFonts w:ascii="Times New Roman" w:hAnsi="Times New Roman" w:cs="Times New Roman"/>
          <w:sz w:val="26"/>
          <w:szCs w:val="26"/>
        </w:rPr>
        <w:instrText xml:space="preserve"> LISTNUM  \l 4 \s 1 </w:instrTex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F3D17" w:rsidRPr="005E0372">
        <w:rPr>
          <w:rFonts w:ascii="Times New Roman" w:hAnsi="Times New Roman" w:cs="Times New Roman"/>
          <w:b/>
          <w:bCs/>
          <w:i/>
          <w:iCs/>
          <w:sz w:val="26"/>
          <w:szCs w:val="26"/>
        </w:rPr>
        <w:t>Prohibited Uses.</w:t>
      </w:r>
      <w:r w:rsidR="004F3D17" w:rsidRPr="007C06EA">
        <w:rPr>
          <w:rFonts w:ascii="Times New Roman" w:hAnsi="Times New Roman" w:cs="Times New Roman"/>
          <w:sz w:val="26"/>
          <w:szCs w:val="26"/>
        </w:rPr>
        <w:t xml:space="preserve"> Evidence of a crime, wrong, or other act is not admissible to prove a person’s character </w:t>
      </w:r>
      <w:proofErr w:type="gramStart"/>
      <w:r w:rsidR="004F3D17" w:rsidRPr="007C06EA">
        <w:rPr>
          <w:rFonts w:ascii="Times New Roman" w:hAnsi="Times New Roman" w:cs="Times New Roman"/>
          <w:sz w:val="26"/>
          <w:szCs w:val="26"/>
        </w:rPr>
        <w:t>in order to</w:t>
      </w:r>
      <w:proofErr w:type="gramEnd"/>
      <w:r w:rsidR="004F3D17" w:rsidRPr="007C06EA">
        <w:rPr>
          <w:rFonts w:ascii="Times New Roman" w:hAnsi="Times New Roman" w:cs="Times New Roman"/>
          <w:sz w:val="26"/>
          <w:szCs w:val="26"/>
        </w:rPr>
        <w:t xml:space="preserve"> show that on a particular occasion the person acted in accordance with the character. </w:t>
      </w:r>
    </w:p>
    <w:p w14:paraId="6608990C" w14:textId="1A8DA9F0" w:rsidR="004F3D17" w:rsidRPr="007C06EA" w:rsidRDefault="005E551C" w:rsidP="004F3D17">
      <w:pPr>
        <w:spacing w:after="0" w:line="240" w:lineRule="auto"/>
        <w:ind w:left="720" w:right="72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fldChar w:fldCharType="begin"/>
      </w:r>
      <w:r>
        <w:rPr>
          <w:rFonts w:ascii="Times New Roman" w:hAnsi="Times New Roman" w:cs="Times New Roman"/>
          <w:sz w:val="26"/>
          <w:szCs w:val="26"/>
        </w:rPr>
        <w:instrText xml:space="preserve"> LISTNUM  \l 4 \s 2 </w:instrTex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F3D17" w:rsidRPr="005E0372">
        <w:rPr>
          <w:rFonts w:ascii="Times New Roman" w:hAnsi="Times New Roman" w:cs="Times New Roman"/>
          <w:b/>
          <w:bCs/>
          <w:i/>
          <w:iCs/>
          <w:sz w:val="26"/>
          <w:szCs w:val="26"/>
        </w:rPr>
        <w:t>Permitted Uses</w:t>
      </w:r>
      <w:r w:rsidR="004F3D17" w:rsidRPr="006109C8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4F3D17" w:rsidRPr="007C06EA">
        <w:rPr>
          <w:rFonts w:ascii="Times New Roman" w:hAnsi="Times New Roman" w:cs="Times New Roman"/>
          <w:sz w:val="26"/>
          <w:szCs w:val="26"/>
        </w:rPr>
        <w:t xml:space="preserve"> This evidence may be admissible for another purpose, such as proving motive, opportunity, intent, preparation, plan, knowledge, identity, absence of mistake, or lack of accident.</w:t>
      </w:r>
    </w:p>
    <w:p w14:paraId="3D51D090" w14:textId="74AA6239" w:rsidR="004F3D17" w:rsidRDefault="005E551C" w:rsidP="005E551C">
      <w:pPr>
        <w:spacing w:after="200" w:line="240" w:lineRule="auto"/>
        <w:ind w:left="720" w:right="72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fldChar w:fldCharType="begin"/>
      </w:r>
      <w:r>
        <w:rPr>
          <w:rFonts w:ascii="Times New Roman" w:hAnsi="Times New Roman" w:cs="Times New Roman"/>
          <w:sz w:val="26"/>
          <w:szCs w:val="26"/>
        </w:rPr>
        <w:instrText xml:space="preserve"> LISTNUM  \l 4 \s 3 </w:instrTex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F3D17" w:rsidRPr="007C06EA">
        <w:rPr>
          <w:rFonts w:ascii="Times New Roman" w:hAnsi="Times New Roman" w:cs="Times New Roman"/>
          <w:b/>
          <w:bCs/>
          <w:i/>
          <w:iCs/>
          <w:sz w:val="26"/>
          <w:szCs w:val="26"/>
        </w:rPr>
        <w:t>Notice in a Criminal Case.</w:t>
      </w:r>
      <w:r w:rsidR="004F3D17" w:rsidRPr="007C06EA">
        <w:rPr>
          <w:rFonts w:ascii="Times New Roman" w:hAnsi="Times New Roman" w:cs="Times New Roman"/>
          <w:sz w:val="26"/>
          <w:szCs w:val="26"/>
        </w:rPr>
        <w:t> In a criminal case, the prosecutor must:</w:t>
      </w:r>
    </w:p>
    <w:p w14:paraId="06BB087F" w14:textId="7128D9BB" w:rsidR="004F3D17" w:rsidRPr="007C06EA" w:rsidRDefault="005E551C" w:rsidP="005E551C">
      <w:pPr>
        <w:spacing w:after="0" w:line="240" w:lineRule="auto"/>
        <w:ind w:left="2160" w:right="14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aps/>
          <w:sz w:val="26"/>
          <w:szCs w:val="26"/>
        </w:rPr>
        <w:t xml:space="preserve">(a) </w:t>
      </w:r>
      <w:r w:rsidR="004F3D17" w:rsidRPr="007C06EA">
        <w:rPr>
          <w:rFonts w:ascii="Times New Roman" w:hAnsi="Times New Roman" w:cs="Times New Roman"/>
          <w:sz w:val="26"/>
          <w:szCs w:val="26"/>
        </w:rPr>
        <w:t xml:space="preserve">provide reasonable notice of any such evidence that the prosecutor intends to offer at trial, so that the defendant has a fair opportunity to meet </w:t>
      </w:r>
      <w:proofErr w:type="gramStart"/>
      <w:r w:rsidR="004F3D17" w:rsidRPr="007C06EA">
        <w:rPr>
          <w:rFonts w:ascii="Times New Roman" w:hAnsi="Times New Roman" w:cs="Times New Roman"/>
          <w:sz w:val="26"/>
          <w:szCs w:val="26"/>
        </w:rPr>
        <w:t>it;</w:t>
      </w:r>
      <w:proofErr w:type="gramEnd"/>
    </w:p>
    <w:p w14:paraId="50419DFE" w14:textId="77777777" w:rsidR="004F3D17" w:rsidRPr="007C06EA" w:rsidRDefault="004F3D17" w:rsidP="005E551C">
      <w:pPr>
        <w:spacing w:after="0" w:line="240" w:lineRule="auto"/>
        <w:ind w:left="2160" w:right="1440"/>
        <w:jc w:val="both"/>
        <w:rPr>
          <w:rFonts w:ascii="Times New Roman" w:hAnsi="Times New Roman" w:cs="Times New Roman"/>
          <w:sz w:val="26"/>
          <w:szCs w:val="26"/>
        </w:rPr>
      </w:pPr>
      <w:r w:rsidRPr="007C06EA">
        <w:rPr>
          <w:rFonts w:ascii="Times New Roman" w:hAnsi="Times New Roman" w:cs="Times New Roman"/>
          <w:sz w:val="26"/>
          <w:szCs w:val="26"/>
        </w:rPr>
        <w:t>(B) articulate in the notice the permitted purpose for which the prosecutor intends to offer the evidence and the reasoning that supports the purpose; and</w:t>
      </w:r>
    </w:p>
    <w:p w14:paraId="0056F969" w14:textId="77777777" w:rsidR="004F3D17" w:rsidRPr="007C06EA" w:rsidRDefault="004F3D17" w:rsidP="005E551C">
      <w:pPr>
        <w:spacing w:after="0" w:line="240" w:lineRule="auto"/>
        <w:ind w:left="2160" w:right="1440"/>
        <w:jc w:val="both"/>
        <w:rPr>
          <w:rFonts w:ascii="Times New Roman" w:hAnsi="Times New Roman" w:cs="Times New Roman"/>
          <w:sz w:val="26"/>
          <w:szCs w:val="26"/>
        </w:rPr>
      </w:pPr>
      <w:r w:rsidRPr="007C06EA">
        <w:rPr>
          <w:rFonts w:ascii="Times New Roman" w:hAnsi="Times New Roman" w:cs="Times New Roman"/>
          <w:sz w:val="26"/>
          <w:szCs w:val="26"/>
        </w:rPr>
        <w:t>(C) do so in writing before trial — or in any form during trial if the court, for good cause, excuses lack of pretrial notice.</w:t>
      </w:r>
    </w:p>
    <w:bookmarkEnd w:id="0"/>
    <w:p w14:paraId="23AAE658" w14:textId="77777777" w:rsidR="004F3D17" w:rsidRPr="007C06EA" w:rsidRDefault="004F3D17" w:rsidP="004F3D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C00297" w14:textId="795CF3D1" w:rsidR="004F3D17" w:rsidRPr="007C06EA" w:rsidRDefault="004F3D17" w:rsidP="005E551C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06EA">
        <w:rPr>
          <w:rFonts w:ascii="Times New Roman" w:hAnsi="Times New Roman" w:cs="Times New Roman"/>
          <w:i/>
          <w:iCs/>
          <w:sz w:val="26"/>
          <w:szCs w:val="26"/>
        </w:rPr>
        <w:t xml:space="preserve">United States v. </w:t>
      </w:r>
      <w:proofErr w:type="spellStart"/>
      <w:r w:rsidRPr="007C06EA">
        <w:rPr>
          <w:rFonts w:ascii="Times New Roman" w:hAnsi="Times New Roman" w:cs="Times New Roman"/>
          <w:i/>
          <w:iCs/>
          <w:sz w:val="26"/>
          <w:szCs w:val="26"/>
        </w:rPr>
        <w:t>Beechum</w:t>
      </w:r>
      <w:proofErr w:type="spellEnd"/>
      <w:r w:rsidRPr="007C06EA">
        <w:rPr>
          <w:rFonts w:ascii="Times New Roman" w:hAnsi="Times New Roman" w:cs="Times New Roman"/>
          <w:sz w:val="26"/>
          <w:szCs w:val="26"/>
        </w:rPr>
        <w:t xml:space="preserve">, 582 F.2d 898 (5th Cir. 1978) (en banc) discusses at length the tests to be applied in admitting or excluding evidence under Rule 404(b); and, more specifically, the different standards that apply depending upon the purpose of the evidence, i.e., to show intent versus identity, for example. </w:t>
      </w:r>
      <w:r w:rsidRPr="007C06EA">
        <w:rPr>
          <w:rFonts w:ascii="Times New Roman" w:hAnsi="Times New Roman" w:cs="Times New Roman"/>
          <w:i/>
          <w:iCs/>
          <w:sz w:val="26"/>
          <w:szCs w:val="26"/>
        </w:rPr>
        <w:t>See id</w:t>
      </w:r>
      <w:r w:rsidRPr="007C06EA">
        <w:rPr>
          <w:rFonts w:ascii="Times New Roman" w:hAnsi="Times New Roman" w:cs="Times New Roman"/>
          <w:sz w:val="26"/>
          <w:szCs w:val="26"/>
        </w:rPr>
        <w:t>. at 911 n.15.</w:t>
      </w:r>
    </w:p>
    <w:p w14:paraId="3C30068A" w14:textId="77777777" w:rsidR="004F3D17" w:rsidRPr="007C06EA" w:rsidRDefault="004F3D17" w:rsidP="004F3D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06EA">
        <w:rPr>
          <w:rFonts w:ascii="Times New Roman" w:hAnsi="Times New Roman" w:cs="Times New Roman"/>
          <w:sz w:val="26"/>
          <w:szCs w:val="26"/>
        </w:rPr>
        <w:t xml:space="preserve">Both the Supreme Court and the Eleventh Circuit have expressly endorsed the </w:t>
      </w:r>
      <w:proofErr w:type="spellStart"/>
      <w:r w:rsidRPr="007C06EA">
        <w:rPr>
          <w:rFonts w:ascii="Times New Roman" w:hAnsi="Times New Roman" w:cs="Times New Roman"/>
          <w:i/>
          <w:iCs/>
          <w:sz w:val="26"/>
          <w:szCs w:val="26"/>
        </w:rPr>
        <w:t>Beechum</w:t>
      </w:r>
      <w:proofErr w:type="spellEnd"/>
      <w:r w:rsidRPr="007C06EA">
        <w:rPr>
          <w:rFonts w:ascii="Times New Roman" w:hAnsi="Times New Roman" w:cs="Times New Roman"/>
          <w:sz w:val="26"/>
          <w:szCs w:val="26"/>
        </w:rPr>
        <w:t xml:space="preserve"> test. </w:t>
      </w:r>
      <w:r w:rsidRPr="007C06EA">
        <w:rPr>
          <w:rFonts w:ascii="Times New Roman" w:hAnsi="Times New Roman" w:cs="Times New Roman"/>
          <w:i/>
          <w:iCs/>
          <w:sz w:val="26"/>
          <w:szCs w:val="26"/>
        </w:rPr>
        <w:t>Huddleston v. United States</w:t>
      </w:r>
      <w:r w:rsidRPr="007C06EA">
        <w:rPr>
          <w:rFonts w:ascii="Times New Roman" w:hAnsi="Times New Roman" w:cs="Times New Roman"/>
          <w:sz w:val="26"/>
          <w:szCs w:val="26"/>
        </w:rPr>
        <w:t xml:space="preserve">, 485 U.S. 681 (1988); </w:t>
      </w:r>
      <w:r w:rsidRPr="007C06EA">
        <w:rPr>
          <w:rFonts w:ascii="Times New Roman" w:hAnsi="Times New Roman" w:cs="Times New Roman"/>
          <w:i/>
          <w:iCs/>
          <w:sz w:val="26"/>
          <w:szCs w:val="26"/>
        </w:rPr>
        <w:t>United States v. Miller</w:t>
      </w:r>
      <w:r w:rsidRPr="007C06EA">
        <w:rPr>
          <w:rFonts w:ascii="Times New Roman" w:hAnsi="Times New Roman" w:cs="Times New Roman"/>
          <w:sz w:val="26"/>
          <w:szCs w:val="26"/>
        </w:rPr>
        <w:t>, 959 F.2d 1535 (11th Cir. 1992) (en banc)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B965C48" w14:textId="77777777" w:rsidR="005764C5" w:rsidRDefault="005764C5"/>
    <w:sectPr w:rsidR="00576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17"/>
    <w:rsid w:val="001A558C"/>
    <w:rsid w:val="004F3D17"/>
    <w:rsid w:val="005764C5"/>
    <w:rsid w:val="005E551C"/>
    <w:rsid w:val="007B42AB"/>
    <w:rsid w:val="00F8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AAE1F"/>
  <w15:chartTrackingRefBased/>
  <w15:docId w15:val="{4FBD6BBE-7D35-4468-BCC2-38147331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D1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Adams</dc:creator>
  <cp:keywords/>
  <dc:description/>
  <cp:lastModifiedBy>Kathleen Adams</cp:lastModifiedBy>
  <cp:revision>2</cp:revision>
  <dcterms:created xsi:type="dcterms:W3CDTF">2024-03-20T20:23:00Z</dcterms:created>
  <dcterms:modified xsi:type="dcterms:W3CDTF">2024-03-20T20:32:00Z</dcterms:modified>
</cp:coreProperties>
</file>