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F5D" w:rsidRPr="00503874" w:rsidRDefault="00D16F5D" w:rsidP="00D16F5D">
      <w:pPr>
        <w:spacing w:after="0" w:line="240" w:lineRule="auto"/>
        <w:jc w:val="both"/>
        <w:rPr>
          <w:rFonts w:ascii="Times New Roman" w:eastAsia="Arial" w:hAnsi="Times New Roman"/>
          <w:sz w:val="26"/>
          <w:szCs w:val="26"/>
        </w:rPr>
      </w:pPr>
      <w:r w:rsidRPr="00503874">
        <w:rPr>
          <w:rFonts w:ascii="Times New Roman" w:eastAsia="Arial" w:hAnsi="Times New Roman"/>
          <w:b/>
          <w:sz w:val="26"/>
          <w:szCs w:val="26"/>
          <w:u w:val="single"/>
        </w:rPr>
        <w:t>ANNOTATIONS AND COMMENTS</w:t>
      </w:r>
      <w:bookmarkStart w:id="0" w:name="_GoBack"/>
      <w:bookmarkEnd w:id="0"/>
    </w:p>
    <w:p w:rsidR="00D16F5D" w:rsidRPr="00503874" w:rsidRDefault="00D16F5D" w:rsidP="00D16F5D">
      <w:pPr>
        <w:spacing w:after="0" w:line="240" w:lineRule="auto"/>
        <w:jc w:val="both"/>
        <w:rPr>
          <w:rFonts w:ascii="Times New Roman" w:eastAsia="Arial" w:hAnsi="Times New Roman"/>
          <w:sz w:val="26"/>
          <w:szCs w:val="26"/>
        </w:rPr>
      </w:pPr>
    </w:p>
    <w:p w:rsidR="00D16F5D" w:rsidRPr="00503874" w:rsidRDefault="00D16F5D" w:rsidP="00D16F5D">
      <w:pPr>
        <w:spacing w:after="0" w:line="240" w:lineRule="auto"/>
        <w:jc w:val="both"/>
        <w:rPr>
          <w:rFonts w:ascii="Times New Roman" w:eastAsia="Arial" w:hAnsi="Times New Roman"/>
          <w:sz w:val="26"/>
          <w:szCs w:val="26"/>
        </w:rPr>
      </w:pPr>
      <w:r>
        <w:rPr>
          <w:rFonts w:ascii="Times New Roman" w:eastAsia="Arial" w:hAnsi="Times New Roman"/>
          <w:sz w:val="26"/>
          <w:szCs w:val="26"/>
        </w:rPr>
        <w:t>Federal Rule of Criminal Procedure 32.2 provides</w:t>
      </w:r>
    </w:p>
    <w:p w:rsidR="00D16F5D" w:rsidRPr="00503874" w:rsidRDefault="00D16F5D" w:rsidP="00D16F5D">
      <w:pPr>
        <w:spacing w:after="0" w:line="240" w:lineRule="auto"/>
        <w:jc w:val="both"/>
        <w:rPr>
          <w:rFonts w:ascii="Times New Roman" w:eastAsia="Arial" w:hAnsi="Times New Roman"/>
          <w:sz w:val="26"/>
          <w:szCs w:val="26"/>
        </w:rPr>
      </w:pPr>
    </w:p>
    <w:p w:rsidR="00D16F5D" w:rsidRPr="00756749" w:rsidRDefault="00D16F5D" w:rsidP="00D16F5D">
      <w:pPr>
        <w:spacing w:after="0" w:line="240" w:lineRule="auto"/>
        <w:ind w:left="360" w:right="360" w:firstLine="360"/>
        <w:jc w:val="both"/>
        <w:rPr>
          <w:rFonts w:ascii="Times New Roman" w:eastAsia="Arial" w:hAnsi="Times New Roman"/>
          <w:sz w:val="26"/>
          <w:szCs w:val="26"/>
        </w:rPr>
      </w:pP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5 \s 1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w:t>
      </w:r>
      <w:r>
        <w:rPr>
          <w:rFonts w:ascii="Times New Roman" w:eastAsia="Arial" w:hAnsi="Times New Roman"/>
          <w:sz w:val="26"/>
          <w:szCs w:val="26"/>
          <w:u w:val="single"/>
        </w:rPr>
        <w:t xml:space="preserve">Notice </w:t>
      </w:r>
      <w:r w:rsidR="00293D3A">
        <w:rPr>
          <w:rFonts w:ascii="Times New Roman" w:eastAsia="Arial" w:hAnsi="Times New Roman"/>
          <w:sz w:val="26"/>
          <w:szCs w:val="26"/>
          <w:u w:val="single"/>
        </w:rPr>
        <w:t>T</w:t>
      </w:r>
      <w:r>
        <w:rPr>
          <w:rFonts w:ascii="Times New Roman" w:eastAsia="Arial" w:hAnsi="Times New Roman"/>
          <w:sz w:val="26"/>
          <w:szCs w:val="26"/>
          <w:u w:val="single"/>
        </w:rPr>
        <w:t xml:space="preserve">o </w:t>
      </w:r>
      <w:r w:rsidR="00293D3A">
        <w:rPr>
          <w:rFonts w:ascii="Times New Roman" w:eastAsia="Arial" w:hAnsi="Times New Roman"/>
          <w:sz w:val="26"/>
          <w:szCs w:val="26"/>
          <w:u w:val="single"/>
        </w:rPr>
        <w:t>T</w:t>
      </w:r>
      <w:r>
        <w:rPr>
          <w:rFonts w:ascii="Times New Roman" w:eastAsia="Arial" w:hAnsi="Times New Roman"/>
          <w:sz w:val="26"/>
          <w:szCs w:val="26"/>
          <w:u w:val="single"/>
        </w:rPr>
        <w:t>he Defendant</w:t>
      </w:r>
      <w:r>
        <w:rPr>
          <w:rFonts w:ascii="Times New Roman" w:eastAsia="Arial" w:hAnsi="Times New Roman"/>
          <w:sz w:val="26"/>
          <w:szCs w:val="26"/>
        </w:rPr>
        <w:t>. A court shall not enter a judgment of forfeiture in a criminal proceeding unless the indictment or information contains notice to the defendant that the government will seek the forfeiture of property as part of any sentence in accordance with the applicable statute.</w:t>
      </w:r>
    </w:p>
    <w:p w:rsidR="00D16F5D" w:rsidRPr="00503874" w:rsidRDefault="00D16F5D" w:rsidP="00D16F5D">
      <w:pPr>
        <w:spacing w:after="0" w:line="240" w:lineRule="auto"/>
        <w:ind w:left="360" w:right="360" w:firstLine="360"/>
        <w:jc w:val="both"/>
        <w:rPr>
          <w:rFonts w:ascii="Times New Roman" w:eastAsia="Arial" w:hAnsi="Times New Roman" w:cs="Times New Roman"/>
          <w:sz w:val="26"/>
          <w:szCs w:val="26"/>
        </w:rPr>
      </w:pPr>
    </w:p>
    <w:p w:rsidR="00D16F5D" w:rsidRPr="00503874" w:rsidRDefault="00D16F5D" w:rsidP="00D16F5D">
      <w:pPr>
        <w:spacing w:after="0" w:line="240" w:lineRule="auto"/>
        <w:ind w:left="360" w:right="360"/>
        <w:jc w:val="center"/>
        <w:rPr>
          <w:rFonts w:ascii="Times New Roman" w:eastAsia="Arial" w:hAnsi="Times New Roman" w:cs="Times New Roman"/>
          <w:sz w:val="26"/>
          <w:szCs w:val="26"/>
        </w:rPr>
      </w:pPr>
      <w:r w:rsidRPr="00503874">
        <w:rPr>
          <w:rFonts w:ascii="Times New Roman" w:eastAsia="Arial" w:hAnsi="Times New Roman" w:cs="Times New Roman"/>
          <w:sz w:val="26"/>
          <w:szCs w:val="26"/>
        </w:rPr>
        <w:t>*  *  *  *  *  *</w:t>
      </w:r>
    </w:p>
    <w:p w:rsidR="00D16F5D" w:rsidRPr="00503874" w:rsidRDefault="00D16F5D" w:rsidP="00D16F5D">
      <w:pPr>
        <w:spacing w:after="0" w:line="240" w:lineRule="auto"/>
        <w:ind w:left="360" w:right="360" w:firstLine="360"/>
        <w:jc w:val="both"/>
        <w:rPr>
          <w:rFonts w:ascii="Times New Roman" w:eastAsia="Arial" w:hAnsi="Times New Roman" w:cs="Times New Roman"/>
          <w:sz w:val="26"/>
          <w:szCs w:val="26"/>
        </w:rPr>
      </w:pPr>
    </w:p>
    <w:p w:rsidR="00D16F5D" w:rsidRPr="00756749" w:rsidRDefault="00D16F5D" w:rsidP="00D16F5D">
      <w:pPr>
        <w:spacing w:after="0" w:line="240" w:lineRule="auto"/>
        <w:ind w:left="360" w:right="360" w:firstLine="360"/>
        <w:jc w:val="both"/>
        <w:rPr>
          <w:rFonts w:ascii="Times New Roman" w:eastAsia="Arial" w:hAnsi="Times New Roman"/>
          <w:sz w:val="26"/>
          <w:szCs w:val="26"/>
        </w:rPr>
      </w:pPr>
      <w:r w:rsidRPr="00756749">
        <w:rPr>
          <w:rFonts w:ascii="Times New Roman" w:eastAsia="Arial" w:hAnsi="Times New Roman"/>
          <w:sz w:val="26"/>
          <w:szCs w:val="26"/>
        </w:rPr>
        <w:fldChar w:fldCharType="begin"/>
      </w:r>
      <w:r w:rsidRPr="00756749">
        <w:rPr>
          <w:rFonts w:ascii="Times New Roman" w:eastAsia="Arial" w:hAnsi="Times New Roman"/>
          <w:sz w:val="26"/>
          <w:szCs w:val="26"/>
        </w:rPr>
        <w:instrText xml:space="preserve"> LISTNUM  NumberDefault \l 5 \s 2 </w:instrText>
      </w:r>
      <w:r w:rsidRPr="00756749">
        <w:rPr>
          <w:rFonts w:ascii="Times New Roman" w:eastAsia="Arial" w:hAnsi="Times New Roman"/>
          <w:sz w:val="26"/>
          <w:szCs w:val="26"/>
        </w:rPr>
        <w:fldChar w:fldCharType="end"/>
      </w:r>
      <w:r w:rsidRPr="00756749">
        <w:rPr>
          <w:rFonts w:ascii="Times New Roman" w:eastAsia="Arial" w:hAnsi="Times New Roman"/>
          <w:sz w:val="26"/>
          <w:szCs w:val="26"/>
        </w:rPr>
        <w:fldChar w:fldCharType="begin"/>
      </w:r>
      <w:r w:rsidRPr="00756749">
        <w:rPr>
          <w:rFonts w:ascii="Times New Roman" w:eastAsia="Arial" w:hAnsi="Times New Roman"/>
          <w:sz w:val="26"/>
          <w:szCs w:val="26"/>
        </w:rPr>
        <w:instrText xml:space="preserve"> LISTNUM  NumberDefault \l 4 \s 4 </w:instrText>
      </w:r>
      <w:r w:rsidRPr="00756749">
        <w:rPr>
          <w:rFonts w:ascii="Times New Roman" w:eastAsia="Arial" w:hAnsi="Times New Roman"/>
          <w:sz w:val="26"/>
          <w:szCs w:val="26"/>
        </w:rPr>
        <w:fldChar w:fldCharType="end"/>
      </w:r>
      <w:r>
        <w:rPr>
          <w:rFonts w:ascii="Times New Roman" w:eastAsia="Arial" w:hAnsi="Times New Roman"/>
          <w:sz w:val="26"/>
          <w:szCs w:val="26"/>
        </w:rPr>
        <w:t xml:space="preserve"> Upon a party’s request in a case in which a jury returns a verdict of guilty, the jury shall determine whether the government has established the requisite nexus between the property and the offense committed by the defendant.</w:t>
      </w:r>
    </w:p>
    <w:p w:rsidR="00D16F5D" w:rsidRPr="00503874" w:rsidRDefault="00D16F5D" w:rsidP="00D16F5D">
      <w:pPr>
        <w:spacing w:after="0" w:line="240" w:lineRule="auto"/>
        <w:jc w:val="both"/>
        <w:rPr>
          <w:rFonts w:ascii="Times New Roman" w:eastAsia="Arial" w:hAnsi="Times New Roman"/>
          <w:sz w:val="26"/>
          <w:szCs w:val="26"/>
        </w:rPr>
      </w:pPr>
    </w:p>
    <w:p w:rsidR="00D16F5D" w:rsidRPr="00503874" w:rsidRDefault="00D16F5D" w:rsidP="00D16F5D">
      <w:pPr>
        <w:spacing w:after="0" w:line="240" w:lineRule="auto"/>
        <w:jc w:val="both"/>
        <w:rPr>
          <w:rFonts w:ascii="Times New Roman" w:eastAsia="Arial" w:hAnsi="Times New Roman"/>
          <w:sz w:val="26"/>
          <w:szCs w:val="26"/>
        </w:rPr>
      </w:pPr>
      <w:r>
        <w:rPr>
          <w:rFonts w:ascii="Times New Roman" w:eastAsia="Arial" w:hAnsi="Times New Roman"/>
          <w:sz w:val="26"/>
          <w:szCs w:val="26"/>
        </w:rPr>
        <w:t>18 U.S.C. § 982, entitled “Criminal Forfeiture,” is a general statute that provides for the forfeiture of property interests as a part of the sentence for a variety of offenses enumerated in the several subsections of the statute. The definition of the nexus that must be shown to exist between the offense and the property as a prerequisite to forfeiture differs slightly from one subsection to the next:</w:t>
      </w:r>
    </w:p>
    <w:p w:rsidR="00D16F5D" w:rsidRPr="00503874" w:rsidRDefault="00D16F5D" w:rsidP="00D16F5D">
      <w:pPr>
        <w:spacing w:after="0" w:line="240" w:lineRule="auto"/>
        <w:jc w:val="both"/>
        <w:rPr>
          <w:rFonts w:ascii="Times New Roman" w:eastAsia="Arial" w:hAnsi="Times New Roman"/>
          <w:sz w:val="26"/>
          <w:szCs w:val="26"/>
        </w:rPr>
      </w:pPr>
    </w:p>
    <w:p w:rsidR="00D16F5D" w:rsidRDefault="00D16F5D" w:rsidP="00293D3A">
      <w:pPr>
        <w:spacing w:after="0" w:line="240" w:lineRule="auto"/>
        <w:ind w:left="1786" w:right="720" w:hanging="1066"/>
        <w:rPr>
          <w:rFonts w:ascii="Times New Roman" w:eastAsia="Arial" w:hAnsi="Times New Roman"/>
          <w:sz w:val="26"/>
          <w:szCs w:val="26"/>
        </w:rPr>
      </w:pPr>
      <w:r>
        <w:rPr>
          <w:rFonts w:ascii="Times New Roman" w:eastAsia="Arial" w:hAnsi="Times New Roman"/>
          <w:sz w:val="26"/>
          <w:szCs w:val="26"/>
        </w:rPr>
        <w:t>982</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1 </w:instrText>
      </w:r>
      <w:r>
        <w:rPr>
          <w:rFonts w:ascii="Times New Roman" w:eastAsia="Arial" w:hAnsi="Times New Roman"/>
          <w:sz w:val="26"/>
          <w:szCs w:val="26"/>
        </w:rPr>
        <w:fldChar w:fldCharType="end"/>
      </w:r>
      <w:r>
        <w:rPr>
          <w:rFonts w:ascii="Times New Roman" w:eastAsia="Arial" w:hAnsi="Times New Roman"/>
          <w:sz w:val="26"/>
          <w:szCs w:val="26"/>
        </w:rPr>
        <w:t xml:space="preserve"> “involved in such offense”</w:t>
      </w:r>
      <w:r>
        <w:rPr>
          <w:rFonts w:ascii="Times New Roman" w:eastAsia="Arial" w:hAnsi="Times New Roman"/>
          <w:sz w:val="26"/>
          <w:szCs w:val="26"/>
        </w:rPr>
        <w:br/>
        <w:t>“traceable to such property”</w:t>
      </w:r>
    </w:p>
    <w:p w:rsidR="00D16F5D" w:rsidRPr="00503874" w:rsidRDefault="00D16F5D" w:rsidP="00D16F5D">
      <w:pPr>
        <w:spacing w:after="0" w:line="240" w:lineRule="auto"/>
        <w:ind w:right="720"/>
        <w:jc w:val="both"/>
        <w:rPr>
          <w:rFonts w:ascii="Times New Roman" w:eastAsia="Arial" w:hAnsi="Times New Roman"/>
          <w:sz w:val="26"/>
          <w:szCs w:val="26"/>
        </w:rPr>
      </w:pPr>
    </w:p>
    <w:p w:rsidR="00D16F5D" w:rsidRDefault="00D16F5D" w:rsidP="00293D3A">
      <w:pPr>
        <w:spacing w:after="0" w:line="240" w:lineRule="auto"/>
        <w:ind w:left="1858" w:right="720" w:hanging="1138"/>
        <w:jc w:val="both"/>
        <w:rPr>
          <w:rFonts w:ascii="Times New Roman" w:eastAsia="Arial" w:hAnsi="Times New Roman"/>
          <w:sz w:val="26"/>
          <w:szCs w:val="26"/>
        </w:rPr>
      </w:pPr>
      <w:r>
        <w:rPr>
          <w:rFonts w:ascii="Times New Roman" w:eastAsia="Arial" w:hAnsi="Times New Roman"/>
          <w:sz w:val="26"/>
          <w:szCs w:val="26"/>
        </w:rPr>
        <w:t>982</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2 </w:instrText>
      </w:r>
      <w:r>
        <w:rPr>
          <w:rFonts w:ascii="Times New Roman" w:eastAsia="Arial" w:hAnsi="Times New Roman"/>
          <w:sz w:val="26"/>
          <w:szCs w:val="26"/>
        </w:rPr>
        <w:fldChar w:fldCharType="end"/>
      </w:r>
      <w:r>
        <w:rPr>
          <w:rFonts w:ascii="Times New Roman" w:eastAsia="Arial" w:hAnsi="Times New Roman"/>
          <w:sz w:val="26"/>
          <w:szCs w:val="26"/>
        </w:rPr>
        <w:t xml:space="preserve"> “constituting or derived from proceeds… obtained directly or indirectly as the result”</w:t>
      </w:r>
    </w:p>
    <w:p w:rsidR="00D16F5D" w:rsidRPr="00503874" w:rsidRDefault="00D16F5D" w:rsidP="00D16F5D">
      <w:pPr>
        <w:spacing w:after="0" w:line="240" w:lineRule="auto"/>
        <w:ind w:right="720"/>
        <w:jc w:val="both"/>
        <w:rPr>
          <w:rFonts w:ascii="Times New Roman" w:eastAsia="Arial" w:hAnsi="Times New Roman"/>
          <w:sz w:val="26"/>
          <w:szCs w:val="26"/>
        </w:rPr>
      </w:pPr>
    </w:p>
    <w:p w:rsidR="00D16F5D" w:rsidRDefault="00D16F5D" w:rsidP="00293D3A">
      <w:pPr>
        <w:spacing w:after="0" w:line="240" w:lineRule="auto"/>
        <w:ind w:left="1843" w:right="720" w:hanging="1123"/>
        <w:jc w:val="both"/>
        <w:rPr>
          <w:rFonts w:ascii="Times New Roman" w:eastAsia="Arial" w:hAnsi="Times New Roman"/>
          <w:sz w:val="26"/>
          <w:szCs w:val="26"/>
        </w:rPr>
      </w:pPr>
      <w:r>
        <w:rPr>
          <w:rFonts w:ascii="Times New Roman" w:eastAsia="Arial" w:hAnsi="Times New Roman"/>
          <w:sz w:val="26"/>
          <w:szCs w:val="26"/>
        </w:rPr>
        <w:t>982</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3 </w:instrText>
      </w:r>
      <w:r>
        <w:rPr>
          <w:rFonts w:ascii="Times New Roman" w:eastAsia="Arial" w:hAnsi="Times New Roman"/>
          <w:sz w:val="26"/>
          <w:szCs w:val="26"/>
        </w:rPr>
        <w:fldChar w:fldCharType="end"/>
      </w:r>
      <w:r>
        <w:rPr>
          <w:rFonts w:ascii="Times New Roman" w:eastAsia="Arial" w:hAnsi="Times New Roman"/>
          <w:sz w:val="26"/>
          <w:szCs w:val="26"/>
        </w:rPr>
        <w:t xml:space="preserve"> “which represents or is traceable to the gross receipts obtained directly or indirectly as a result”</w:t>
      </w:r>
    </w:p>
    <w:p w:rsidR="00D16F5D" w:rsidRPr="00503874" w:rsidRDefault="00D16F5D" w:rsidP="00D16F5D">
      <w:pPr>
        <w:spacing w:after="0" w:line="240" w:lineRule="auto"/>
        <w:ind w:right="720"/>
        <w:jc w:val="both"/>
        <w:rPr>
          <w:rFonts w:ascii="Times New Roman" w:eastAsia="Arial" w:hAnsi="Times New Roman"/>
          <w:sz w:val="26"/>
          <w:szCs w:val="26"/>
        </w:rPr>
      </w:pPr>
    </w:p>
    <w:p w:rsidR="00D16F5D" w:rsidRDefault="00D16F5D" w:rsidP="00D16F5D">
      <w:pPr>
        <w:spacing w:after="0" w:line="240" w:lineRule="auto"/>
        <w:ind w:left="1890" w:right="720" w:hanging="1170"/>
        <w:jc w:val="both"/>
        <w:rPr>
          <w:rFonts w:ascii="Times New Roman" w:eastAsia="Arial" w:hAnsi="Times New Roman"/>
          <w:sz w:val="26"/>
          <w:szCs w:val="26"/>
        </w:rPr>
      </w:pPr>
      <w:r>
        <w:rPr>
          <w:rFonts w:ascii="Times New Roman" w:eastAsia="Arial" w:hAnsi="Times New Roman"/>
          <w:sz w:val="26"/>
          <w:szCs w:val="26"/>
        </w:rPr>
        <w:t>982</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4 </w:instrText>
      </w:r>
      <w:r>
        <w:rPr>
          <w:rFonts w:ascii="Times New Roman" w:eastAsia="Arial" w:hAnsi="Times New Roman"/>
          <w:sz w:val="26"/>
          <w:szCs w:val="26"/>
        </w:rPr>
        <w:fldChar w:fldCharType="end"/>
      </w:r>
      <w:r>
        <w:rPr>
          <w:rFonts w:ascii="Times New Roman" w:eastAsia="Arial" w:hAnsi="Times New Roman"/>
          <w:sz w:val="26"/>
          <w:szCs w:val="26"/>
        </w:rPr>
        <w:t xml:space="preserve"> “obtained directly or indirectly, as a result”</w:t>
      </w:r>
    </w:p>
    <w:p w:rsidR="00D16F5D" w:rsidRPr="00503874" w:rsidRDefault="00D16F5D" w:rsidP="00D16F5D">
      <w:pPr>
        <w:spacing w:after="0" w:line="240" w:lineRule="auto"/>
        <w:ind w:right="720"/>
        <w:jc w:val="both"/>
        <w:rPr>
          <w:rFonts w:ascii="Times New Roman" w:eastAsia="Arial" w:hAnsi="Times New Roman"/>
          <w:sz w:val="26"/>
          <w:szCs w:val="26"/>
        </w:rPr>
      </w:pPr>
    </w:p>
    <w:p w:rsidR="00D16F5D" w:rsidRDefault="00D16F5D" w:rsidP="00293D3A">
      <w:pPr>
        <w:spacing w:after="0" w:line="240" w:lineRule="auto"/>
        <w:ind w:left="1843" w:right="720" w:hanging="1123"/>
        <w:jc w:val="both"/>
        <w:rPr>
          <w:rFonts w:ascii="Times New Roman" w:eastAsia="Arial" w:hAnsi="Times New Roman"/>
          <w:sz w:val="26"/>
          <w:szCs w:val="26"/>
        </w:rPr>
      </w:pPr>
      <w:r>
        <w:rPr>
          <w:rFonts w:ascii="Times New Roman" w:eastAsia="Arial" w:hAnsi="Times New Roman"/>
          <w:sz w:val="26"/>
          <w:szCs w:val="26"/>
        </w:rPr>
        <w:t>982</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5 </w:instrText>
      </w:r>
      <w:r>
        <w:rPr>
          <w:rFonts w:ascii="Times New Roman" w:eastAsia="Arial" w:hAnsi="Times New Roman"/>
          <w:sz w:val="26"/>
          <w:szCs w:val="26"/>
        </w:rPr>
        <w:fldChar w:fldCharType="end"/>
      </w:r>
      <w:r>
        <w:rPr>
          <w:rFonts w:ascii="Times New Roman" w:eastAsia="Arial" w:hAnsi="Times New Roman"/>
          <w:sz w:val="26"/>
          <w:szCs w:val="26"/>
        </w:rPr>
        <w:t xml:space="preserve"> “which represents or is traceable to the gross receipts obtained directly or indirectly as a result”</w:t>
      </w:r>
    </w:p>
    <w:p w:rsidR="00D16F5D" w:rsidRDefault="00D16F5D" w:rsidP="00D16F5D">
      <w:pPr>
        <w:spacing w:after="0" w:line="240" w:lineRule="auto"/>
        <w:ind w:right="720"/>
        <w:jc w:val="both"/>
        <w:rPr>
          <w:rFonts w:ascii="Times New Roman" w:eastAsia="Arial" w:hAnsi="Times New Roman"/>
          <w:sz w:val="26"/>
          <w:szCs w:val="26"/>
        </w:rPr>
      </w:pPr>
    </w:p>
    <w:p w:rsidR="00D16F5D" w:rsidRPr="00F904F5" w:rsidRDefault="00D16F5D" w:rsidP="00293D3A">
      <w:pPr>
        <w:spacing w:after="0" w:line="240" w:lineRule="auto"/>
        <w:ind w:left="1958" w:right="720" w:hanging="1238"/>
        <w:jc w:val="both"/>
        <w:rPr>
          <w:rFonts w:ascii="Times New Roman" w:eastAsia="Arial" w:hAnsi="Times New Roman"/>
          <w:sz w:val="26"/>
          <w:szCs w:val="26"/>
        </w:rPr>
      </w:pPr>
      <w:r>
        <w:rPr>
          <w:rFonts w:ascii="Times New Roman" w:eastAsia="Arial" w:hAnsi="Times New Roman"/>
          <w:sz w:val="26"/>
          <w:szCs w:val="26"/>
        </w:rPr>
        <w:t>982</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6 </w:instrText>
      </w:r>
      <w:r>
        <w:rPr>
          <w:rFonts w:ascii="Times New Roman" w:eastAsia="Arial" w:hAnsi="Times New Roman"/>
          <w:sz w:val="26"/>
          <w:szCs w:val="26"/>
        </w:rPr>
        <w:fldChar w:fldCharType="end"/>
      </w:r>
      <w:r>
        <w:rPr>
          <w:rFonts w:ascii="Times New Roman" w:eastAsia="Arial" w:hAnsi="Times New Roman"/>
          <w:sz w:val="26"/>
          <w:szCs w:val="26"/>
        </w:rPr>
        <w:t xml:space="preserve"> “any conveyance… vessel, vehicle or aircraft used” </w:t>
      </w:r>
      <w:r>
        <w:rPr>
          <w:rFonts w:ascii="Times New Roman" w:eastAsia="Arial" w:hAnsi="Times New Roman"/>
          <w:sz w:val="26"/>
          <w:szCs w:val="26"/>
          <w:u w:val="single"/>
        </w:rPr>
        <w:t>or</w:t>
      </w:r>
      <w:r>
        <w:rPr>
          <w:rFonts w:ascii="Times New Roman" w:eastAsia="Arial" w:hAnsi="Times New Roman"/>
          <w:sz w:val="26"/>
          <w:szCs w:val="26"/>
        </w:rPr>
        <w:t xml:space="preserve"> “constitutes or is derived from or is traceable to proceeds obtained directly or indirectly from” </w:t>
      </w:r>
      <w:r>
        <w:rPr>
          <w:rFonts w:ascii="Times New Roman" w:eastAsia="Arial" w:hAnsi="Times New Roman"/>
          <w:sz w:val="26"/>
          <w:szCs w:val="26"/>
          <w:u w:val="single"/>
        </w:rPr>
        <w:t>or</w:t>
      </w:r>
      <w:r>
        <w:rPr>
          <w:rFonts w:ascii="Times New Roman" w:eastAsia="Arial" w:hAnsi="Times New Roman"/>
          <w:sz w:val="26"/>
          <w:szCs w:val="26"/>
        </w:rPr>
        <w:t xml:space="preserve"> “is used to facilitate”</w:t>
      </w:r>
    </w:p>
    <w:p w:rsidR="00D16F5D" w:rsidRDefault="00D16F5D" w:rsidP="00D16F5D">
      <w:pPr>
        <w:spacing w:after="0" w:line="240" w:lineRule="auto"/>
        <w:ind w:right="720"/>
        <w:jc w:val="both"/>
        <w:rPr>
          <w:rFonts w:ascii="Times New Roman" w:eastAsia="Arial" w:hAnsi="Times New Roman"/>
          <w:sz w:val="26"/>
          <w:szCs w:val="26"/>
        </w:rPr>
      </w:pPr>
    </w:p>
    <w:p w:rsidR="00D16F5D" w:rsidRDefault="00D16F5D" w:rsidP="00D16F5D">
      <w:pPr>
        <w:spacing w:after="0" w:line="240" w:lineRule="auto"/>
        <w:ind w:left="1890" w:right="720" w:hanging="1170"/>
        <w:jc w:val="both"/>
        <w:rPr>
          <w:rFonts w:ascii="Times New Roman" w:eastAsia="Arial" w:hAnsi="Times New Roman"/>
          <w:sz w:val="26"/>
          <w:szCs w:val="26"/>
        </w:rPr>
      </w:pPr>
      <w:r>
        <w:rPr>
          <w:rFonts w:ascii="Times New Roman" w:eastAsia="Arial" w:hAnsi="Times New Roman"/>
          <w:sz w:val="26"/>
          <w:szCs w:val="26"/>
        </w:rPr>
        <w:t>982</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7 </w:instrText>
      </w:r>
      <w:r>
        <w:rPr>
          <w:rFonts w:ascii="Times New Roman" w:eastAsia="Arial" w:hAnsi="Times New Roman"/>
          <w:sz w:val="26"/>
          <w:szCs w:val="26"/>
        </w:rPr>
        <w:fldChar w:fldCharType="end"/>
      </w:r>
      <w:r>
        <w:rPr>
          <w:rFonts w:ascii="Times New Roman" w:eastAsia="Arial" w:hAnsi="Times New Roman"/>
          <w:sz w:val="26"/>
          <w:szCs w:val="26"/>
        </w:rPr>
        <w:t xml:space="preserve"> “constitutes or is derived directly or indirectly from gross proceeds traceable to”</w:t>
      </w:r>
    </w:p>
    <w:p w:rsidR="00D16F5D" w:rsidRDefault="00D16F5D" w:rsidP="00D16F5D">
      <w:pPr>
        <w:spacing w:after="0" w:line="240" w:lineRule="auto"/>
        <w:ind w:right="720"/>
        <w:jc w:val="both"/>
        <w:rPr>
          <w:rFonts w:ascii="Times New Roman" w:eastAsia="Arial" w:hAnsi="Times New Roman"/>
          <w:sz w:val="26"/>
          <w:szCs w:val="26"/>
        </w:rPr>
      </w:pPr>
    </w:p>
    <w:p w:rsidR="00D16F5D" w:rsidRPr="00F904F5" w:rsidRDefault="00D16F5D" w:rsidP="00D16F5D">
      <w:pPr>
        <w:spacing w:after="0" w:line="240" w:lineRule="auto"/>
        <w:ind w:left="1890" w:right="720" w:hanging="1170"/>
        <w:jc w:val="both"/>
        <w:rPr>
          <w:rFonts w:ascii="Times New Roman" w:eastAsia="Arial" w:hAnsi="Times New Roman"/>
          <w:sz w:val="26"/>
          <w:szCs w:val="26"/>
        </w:rPr>
      </w:pPr>
      <w:r>
        <w:rPr>
          <w:rFonts w:ascii="Times New Roman" w:eastAsia="Arial" w:hAnsi="Times New Roman"/>
          <w:sz w:val="26"/>
          <w:szCs w:val="26"/>
        </w:rPr>
        <w:t>982</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8 </w:instrText>
      </w:r>
      <w:r>
        <w:rPr>
          <w:rFonts w:ascii="Times New Roman" w:eastAsia="Arial" w:hAnsi="Times New Roman"/>
          <w:sz w:val="26"/>
          <w:szCs w:val="26"/>
        </w:rPr>
        <w:fldChar w:fldCharType="end"/>
      </w:r>
      <w:r>
        <w:rPr>
          <w:rFonts w:ascii="Times New Roman" w:eastAsia="Arial" w:hAnsi="Times New Roman"/>
          <w:sz w:val="26"/>
          <w:szCs w:val="26"/>
        </w:rPr>
        <w:t xml:space="preserve"> “used to facilitate” </w:t>
      </w:r>
      <w:r>
        <w:rPr>
          <w:rFonts w:ascii="Times New Roman" w:eastAsia="Arial" w:hAnsi="Times New Roman"/>
          <w:sz w:val="26"/>
          <w:szCs w:val="26"/>
          <w:u w:val="single"/>
        </w:rPr>
        <w:t>or</w:t>
      </w:r>
      <w:r>
        <w:rPr>
          <w:rFonts w:ascii="Times New Roman" w:eastAsia="Arial" w:hAnsi="Times New Roman"/>
          <w:sz w:val="26"/>
          <w:szCs w:val="26"/>
        </w:rPr>
        <w:t xml:space="preserve"> “constituting, derived from or traceable to”</w:t>
      </w:r>
    </w:p>
    <w:p w:rsidR="00D16F5D" w:rsidRDefault="00D16F5D" w:rsidP="00D16F5D">
      <w:pPr>
        <w:spacing w:after="0" w:line="240" w:lineRule="auto"/>
        <w:ind w:right="360"/>
        <w:jc w:val="both"/>
        <w:rPr>
          <w:rFonts w:ascii="Times New Roman" w:eastAsia="Arial" w:hAnsi="Times New Roman"/>
          <w:sz w:val="26"/>
          <w:szCs w:val="26"/>
        </w:rPr>
      </w:pPr>
    </w:p>
    <w:p w:rsidR="00D16F5D" w:rsidRDefault="00D16F5D" w:rsidP="00D16F5D">
      <w:pPr>
        <w:spacing w:after="0" w:line="240" w:lineRule="auto"/>
        <w:jc w:val="both"/>
        <w:rPr>
          <w:rFonts w:ascii="Times New Roman" w:eastAsia="Arial" w:hAnsi="Times New Roman"/>
          <w:sz w:val="26"/>
          <w:szCs w:val="26"/>
        </w:rPr>
      </w:pPr>
      <w:r>
        <w:rPr>
          <w:rFonts w:ascii="Times New Roman" w:eastAsia="Arial" w:hAnsi="Times New Roman"/>
          <w:sz w:val="26"/>
          <w:szCs w:val="26"/>
        </w:rPr>
        <w:t>Extreme care must be taken, therefore, in adapting and tailoring elements of proof as stated in this instruction to the standards stated in the specific subsection of § 982 applicable to the case.</w:t>
      </w:r>
    </w:p>
    <w:p w:rsidR="00D16F5D" w:rsidRDefault="00D16F5D" w:rsidP="00D16F5D">
      <w:pPr>
        <w:spacing w:after="0" w:line="240" w:lineRule="auto"/>
        <w:jc w:val="both"/>
        <w:rPr>
          <w:rFonts w:ascii="Times New Roman" w:eastAsia="Arial" w:hAnsi="Times New Roman"/>
          <w:sz w:val="26"/>
          <w:szCs w:val="26"/>
        </w:rPr>
      </w:pPr>
    </w:p>
    <w:p w:rsidR="00D16F5D" w:rsidRDefault="00D16F5D" w:rsidP="00D16F5D">
      <w:pPr>
        <w:spacing w:after="0" w:line="240" w:lineRule="auto"/>
        <w:jc w:val="both"/>
        <w:rPr>
          <w:rFonts w:ascii="Times New Roman" w:eastAsia="Arial" w:hAnsi="Times New Roman"/>
          <w:sz w:val="26"/>
          <w:szCs w:val="26"/>
        </w:rPr>
      </w:pPr>
      <w:r>
        <w:rPr>
          <w:rFonts w:ascii="Times New Roman" w:eastAsia="Arial" w:hAnsi="Times New Roman"/>
          <w:sz w:val="26"/>
          <w:szCs w:val="26"/>
        </w:rPr>
        <w:t>18 U.S.C. § 1963</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t xml:space="preserve"> (RICO) provides:</w:t>
      </w:r>
    </w:p>
    <w:p w:rsidR="00D16F5D" w:rsidRDefault="00D16F5D" w:rsidP="00D16F5D">
      <w:pPr>
        <w:spacing w:after="0" w:line="240" w:lineRule="auto"/>
        <w:jc w:val="both"/>
        <w:rPr>
          <w:rFonts w:ascii="Times New Roman" w:eastAsia="Arial" w:hAnsi="Times New Roman"/>
          <w:sz w:val="26"/>
          <w:szCs w:val="26"/>
        </w:rPr>
      </w:pPr>
    </w:p>
    <w:p w:rsidR="00D16F5D" w:rsidRDefault="00D16F5D" w:rsidP="00D16F5D">
      <w:pPr>
        <w:spacing w:after="0" w:line="240" w:lineRule="auto"/>
        <w:ind w:left="360" w:right="360"/>
        <w:jc w:val="both"/>
        <w:rPr>
          <w:rFonts w:ascii="Times New Roman" w:eastAsia="Arial" w:hAnsi="Times New Roman"/>
          <w:sz w:val="26"/>
          <w:szCs w:val="26"/>
        </w:rPr>
      </w:pPr>
      <w:r>
        <w:rPr>
          <w:rFonts w:ascii="Times New Roman" w:eastAsia="Arial" w:hAnsi="Times New Roman"/>
          <w:sz w:val="26"/>
          <w:szCs w:val="26"/>
        </w:rPr>
        <w:t xml:space="preserve">Whoever violates any provision of section 1962 of this chapter… shall forfeit to the United States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1 </w:instrText>
      </w:r>
      <w:r>
        <w:rPr>
          <w:rFonts w:ascii="Times New Roman" w:eastAsia="Arial" w:hAnsi="Times New Roman"/>
          <w:sz w:val="26"/>
          <w:szCs w:val="26"/>
        </w:rPr>
        <w:fldChar w:fldCharType="end"/>
      </w:r>
      <w:r>
        <w:rPr>
          <w:rFonts w:ascii="Times New Roman" w:eastAsia="Arial" w:hAnsi="Times New Roman"/>
          <w:sz w:val="26"/>
          <w:szCs w:val="26"/>
        </w:rPr>
        <w:t xml:space="preserve"> any interest the person has acquired or maintained in violation of section 1962;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2 </w:instrText>
      </w:r>
      <w:r>
        <w:rPr>
          <w:rFonts w:ascii="Times New Roman" w:eastAsia="Arial" w:hAnsi="Times New Roman"/>
          <w:sz w:val="26"/>
          <w:szCs w:val="26"/>
        </w:rPr>
        <w:fldChar w:fldCharType="end"/>
      </w:r>
      <w:r>
        <w:rPr>
          <w:rFonts w:ascii="Times New Roman" w:eastAsia="Arial" w:hAnsi="Times New Roman"/>
          <w:sz w:val="26"/>
          <w:szCs w:val="26"/>
        </w:rPr>
        <w:t xml:space="preserve"> any interest in; security of; claim against; or property or contractual right of any kind affording a source of influence over any enterprise which the person has established, operated, controlled, conducted, or participated in the conduct of, in violation of section 1962; and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3 </w:instrText>
      </w:r>
      <w:r>
        <w:rPr>
          <w:rFonts w:ascii="Times New Roman" w:eastAsia="Arial" w:hAnsi="Times New Roman"/>
          <w:sz w:val="26"/>
          <w:szCs w:val="26"/>
        </w:rPr>
        <w:fldChar w:fldCharType="end"/>
      </w:r>
      <w:r>
        <w:rPr>
          <w:rFonts w:ascii="Times New Roman" w:eastAsia="Arial" w:hAnsi="Times New Roman"/>
          <w:sz w:val="26"/>
          <w:szCs w:val="26"/>
        </w:rPr>
        <w:t xml:space="preserve"> any property constituting, or derived from, any proceeds which the person obtained, directly or indirectly, from racketeering activity… in violation of section 1962.</w:t>
      </w:r>
    </w:p>
    <w:p w:rsidR="00D16F5D" w:rsidRDefault="00D16F5D" w:rsidP="00D16F5D">
      <w:pPr>
        <w:spacing w:after="0" w:line="240" w:lineRule="auto"/>
        <w:jc w:val="both"/>
        <w:rPr>
          <w:rFonts w:ascii="Times New Roman" w:eastAsia="Arial" w:hAnsi="Times New Roman"/>
          <w:sz w:val="26"/>
          <w:szCs w:val="26"/>
        </w:rPr>
      </w:pPr>
    </w:p>
    <w:p w:rsidR="00D16F5D" w:rsidRDefault="00D16F5D" w:rsidP="00D16F5D">
      <w:pPr>
        <w:spacing w:after="0" w:line="240" w:lineRule="auto"/>
        <w:jc w:val="both"/>
        <w:rPr>
          <w:rFonts w:ascii="Times New Roman" w:eastAsia="Arial" w:hAnsi="Times New Roman"/>
          <w:sz w:val="26"/>
          <w:szCs w:val="26"/>
        </w:rPr>
      </w:pPr>
      <w:r>
        <w:rPr>
          <w:rFonts w:ascii="Times New Roman" w:eastAsia="Arial" w:hAnsi="Times New Roman"/>
          <w:sz w:val="26"/>
          <w:szCs w:val="26"/>
        </w:rPr>
        <w:t>18 U.S.C. § 2253 (Child Pornography) provides:</w:t>
      </w:r>
    </w:p>
    <w:p w:rsidR="00D16F5D" w:rsidRDefault="00D16F5D" w:rsidP="00D16F5D">
      <w:pPr>
        <w:spacing w:after="0" w:line="240" w:lineRule="auto"/>
        <w:jc w:val="both"/>
        <w:rPr>
          <w:rFonts w:ascii="Times New Roman" w:eastAsia="Arial" w:hAnsi="Times New Roman"/>
          <w:sz w:val="26"/>
          <w:szCs w:val="26"/>
        </w:rPr>
      </w:pPr>
    </w:p>
    <w:p w:rsidR="00D16F5D" w:rsidRDefault="00D16F5D" w:rsidP="00D16F5D">
      <w:pPr>
        <w:spacing w:after="0" w:line="240" w:lineRule="auto"/>
        <w:ind w:left="360" w:right="360" w:firstLine="360"/>
        <w:jc w:val="both"/>
        <w:rPr>
          <w:rFonts w:ascii="Times New Roman" w:eastAsia="Arial" w:hAnsi="Times New Roman"/>
          <w:sz w:val="26"/>
          <w:szCs w:val="26"/>
        </w:rPr>
      </w:pP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t xml:space="preserve"> Property subject to criminal forfeiture. - - A person who is convicted of an offense under this chapter [18 U.S.C.A. § 2251 et seq.] involving a visual depiction described in section 2251, 2251A, 2252, 2252A, or 2260 of this chapter, or who is convicted of an offense under section 2421, 2422, or 2423 of chapter 117 [18 U.S.C.A. § 2421 et seq.], shall forfeit to the United States such person’s interest in - -</w:t>
      </w:r>
    </w:p>
    <w:p w:rsidR="00D16F5D" w:rsidRDefault="00D16F5D" w:rsidP="00D16F5D">
      <w:pPr>
        <w:spacing w:after="0" w:line="240" w:lineRule="auto"/>
        <w:ind w:left="360" w:right="360" w:firstLine="360"/>
        <w:jc w:val="both"/>
        <w:rPr>
          <w:rFonts w:ascii="Times New Roman" w:eastAsia="Arial" w:hAnsi="Times New Roman"/>
          <w:sz w:val="26"/>
          <w:szCs w:val="26"/>
        </w:rPr>
      </w:pPr>
    </w:p>
    <w:p w:rsidR="00D16F5D" w:rsidRDefault="00D16F5D" w:rsidP="00D16F5D">
      <w:pPr>
        <w:spacing w:after="0" w:line="240" w:lineRule="auto"/>
        <w:ind w:left="720" w:right="720" w:firstLine="360"/>
        <w:jc w:val="both"/>
        <w:rPr>
          <w:rFonts w:ascii="Times New Roman" w:eastAsia="Arial" w:hAnsi="Times New Roman"/>
          <w:sz w:val="26"/>
          <w:szCs w:val="26"/>
        </w:rPr>
      </w:pP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1 </w:instrText>
      </w:r>
      <w:r>
        <w:rPr>
          <w:rFonts w:ascii="Times New Roman" w:eastAsia="Arial" w:hAnsi="Times New Roman"/>
          <w:sz w:val="26"/>
          <w:szCs w:val="26"/>
        </w:rPr>
        <w:fldChar w:fldCharType="end"/>
      </w:r>
      <w:r>
        <w:rPr>
          <w:rFonts w:ascii="Times New Roman" w:eastAsia="Arial" w:hAnsi="Times New Roman"/>
          <w:sz w:val="26"/>
          <w:szCs w:val="26"/>
        </w:rPr>
        <w:t xml:space="preserve"> any visual depiction described in section 2251, 2251A, or 2252 of this chapter, or any book, magazine, periodical, film, videotape, or other matter which contains any such visual depiction, which was produced, transported, mailed, shipped or received in violation of this chapter;</w:t>
      </w:r>
    </w:p>
    <w:p w:rsidR="00D16F5D" w:rsidRDefault="00D16F5D" w:rsidP="00D16F5D">
      <w:pPr>
        <w:spacing w:after="0" w:line="240" w:lineRule="auto"/>
        <w:ind w:left="720" w:right="720" w:firstLine="360"/>
        <w:jc w:val="both"/>
        <w:rPr>
          <w:rFonts w:ascii="Times New Roman" w:eastAsia="Arial" w:hAnsi="Times New Roman"/>
          <w:sz w:val="26"/>
          <w:szCs w:val="26"/>
        </w:rPr>
      </w:pPr>
    </w:p>
    <w:p w:rsidR="00D16F5D" w:rsidRDefault="00D16F5D" w:rsidP="00D16F5D">
      <w:pPr>
        <w:spacing w:after="0" w:line="240" w:lineRule="auto"/>
        <w:ind w:left="720" w:right="720" w:firstLine="360"/>
        <w:jc w:val="both"/>
        <w:rPr>
          <w:rFonts w:ascii="Times New Roman" w:eastAsia="Arial" w:hAnsi="Times New Roman"/>
          <w:sz w:val="26"/>
          <w:szCs w:val="26"/>
        </w:rPr>
      </w:pP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2 </w:instrText>
      </w:r>
      <w:r>
        <w:rPr>
          <w:rFonts w:ascii="Times New Roman" w:eastAsia="Arial" w:hAnsi="Times New Roman"/>
          <w:sz w:val="26"/>
          <w:szCs w:val="26"/>
        </w:rPr>
        <w:fldChar w:fldCharType="end"/>
      </w:r>
      <w:r>
        <w:rPr>
          <w:rFonts w:ascii="Times New Roman" w:eastAsia="Arial" w:hAnsi="Times New Roman"/>
          <w:sz w:val="26"/>
          <w:szCs w:val="26"/>
        </w:rPr>
        <w:t xml:space="preserve"> any property, real or personal, constituting or traceable to gross profits or other proceeds obtained from such offense; and</w:t>
      </w:r>
    </w:p>
    <w:p w:rsidR="00D16F5D" w:rsidRDefault="00D16F5D" w:rsidP="00D16F5D">
      <w:pPr>
        <w:spacing w:after="0" w:line="240" w:lineRule="auto"/>
        <w:ind w:left="720" w:right="720" w:firstLine="360"/>
        <w:jc w:val="both"/>
        <w:rPr>
          <w:rFonts w:ascii="Times New Roman" w:eastAsia="Arial" w:hAnsi="Times New Roman"/>
          <w:sz w:val="26"/>
          <w:szCs w:val="26"/>
        </w:rPr>
      </w:pPr>
    </w:p>
    <w:p w:rsidR="00D16F5D" w:rsidRDefault="00D16F5D" w:rsidP="00D16F5D">
      <w:pPr>
        <w:spacing w:after="0" w:line="240" w:lineRule="auto"/>
        <w:ind w:left="720" w:right="720" w:firstLine="360"/>
        <w:jc w:val="both"/>
        <w:rPr>
          <w:rFonts w:ascii="Times New Roman" w:eastAsia="Arial" w:hAnsi="Times New Roman"/>
          <w:sz w:val="26"/>
          <w:szCs w:val="26"/>
        </w:rPr>
      </w:pP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3 </w:instrText>
      </w:r>
      <w:r>
        <w:rPr>
          <w:rFonts w:ascii="Times New Roman" w:eastAsia="Arial" w:hAnsi="Times New Roman"/>
          <w:sz w:val="26"/>
          <w:szCs w:val="26"/>
        </w:rPr>
        <w:fldChar w:fldCharType="end"/>
      </w:r>
      <w:r>
        <w:rPr>
          <w:rFonts w:ascii="Times New Roman" w:eastAsia="Arial" w:hAnsi="Times New Roman"/>
          <w:sz w:val="26"/>
          <w:szCs w:val="26"/>
        </w:rPr>
        <w:t xml:space="preserve"> any property, real or personal, used or intended to be used to commit or to promote the commission of such offense.</w:t>
      </w:r>
    </w:p>
    <w:p w:rsidR="00D16F5D" w:rsidRDefault="00D16F5D" w:rsidP="00D16F5D">
      <w:pPr>
        <w:spacing w:after="0" w:line="240" w:lineRule="auto"/>
        <w:jc w:val="both"/>
        <w:rPr>
          <w:rFonts w:ascii="Times New Roman" w:eastAsia="Arial" w:hAnsi="Times New Roman"/>
          <w:sz w:val="26"/>
          <w:szCs w:val="26"/>
        </w:rPr>
      </w:pPr>
    </w:p>
    <w:p w:rsidR="00D16F5D" w:rsidRDefault="00D16F5D" w:rsidP="00D16F5D">
      <w:pPr>
        <w:spacing w:after="0" w:line="240" w:lineRule="auto"/>
        <w:jc w:val="both"/>
        <w:rPr>
          <w:rFonts w:ascii="Times New Roman" w:eastAsia="Arial" w:hAnsi="Times New Roman"/>
          <w:sz w:val="26"/>
          <w:szCs w:val="26"/>
        </w:rPr>
      </w:pPr>
      <w:r>
        <w:rPr>
          <w:rFonts w:ascii="Times New Roman" w:eastAsia="Arial" w:hAnsi="Times New Roman"/>
          <w:sz w:val="26"/>
          <w:szCs w:val="26"/>
        </w:rPr>
        <w:t>21 U.S.C. § 853</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t xml:space="preserve"> (Drug Offenses) provides:</w:t>
      </w:r>
    </w:p>
    <w:p w:rsidR="00D16F5D" w:rsidRDefault="00D16F5D" w:rsidP="00D16F5D">
      <w:pPr>
        <w:spacing w:after="0" w:line="240" w:lineRule="auto"/>
        <w:jc w:val="both"/>
        <w:rPr>
          <w:rFonts w:ascii="Times New Roman" w:eastAsia="Arial" w:hAnsi="Times New Roman"/>
          <w:sz w:val="26"/>
          <w:szCs w:val="26"/>
        </w:rPr>
      </w:pPr>
    </w:p>
    <w:p w:rsidR="00D16F5D" w:rsidRDefault="00D16F5D" w:rsidP="00D16F5D">
      <w:pPr>
        <w:spacing w:after="0" w:line="240" w:lineRule="auto"/>
        <w:ind w:left="360" w:right="360"/>
        <w:jc w:val="both"/>
        <w:rPr>
          <w:rFonts w:ascii="Times New Roman" w:eastAsia="Arial" w:hAnsi="Times New Roman"/>
          <w:sz w:val="26"/>
          <w:szCs w:val="26"/>
        </w:rPr>
      </w:pPr>
      <w:r>
        <w:rPr>
          <w:rFonts w:ascii="Times New Roman" w:eastAsia="Arial" w:hAnsi="Times New Roman"/>
          <w:sz w:val="26"/>
          <w:szCs w:val="26"/>
        </w:rPr>
        <w:t>Any person convicted of a violation of this subchapter of subchapter II of this chapter [21 U.S.C. §§ 951 et seq.] punishable by imprisonment for more than one year shall forfeit to the United States, irrespective of any provision of State law - -</w:t>
      </w:r>
    </w:p>
    <w:p w:rsidR="00D16F5D" w:rsidRPr="00483F8E" w:rsidRDefault="00D16F5D" w:rsidP="00D16F5D">
      <w:pPr>
        <w:spacing w:after="0" w:line="240" w:lineRule="auto"/>
        <w:ind w:left="360" w:right="360"/>
        <w:jc w:val="both"/>
        <w:rPr>
          <w:rFonts w:ascii="Times New Roman" w:eastAsia="Arial" w:hAnsi="Times New Roman"/>
          <w:sz w:val="26"/>
          <w:szCs w:val="26"/>
        </w:rPr>
      </w:pPr>
    </w:p>
    <w:p w:rsidR="00D16F5D" w:rsidRDefault="00D16F5D" w:rsidP="00D16F5D">
      <w:pPr>
        <w:spacing w:after="0" w:line="240" w:lineRule="auto"/>
        <w:ind w:left="720" w:right="720" w:firstLine="360"/>
        <w:jc w:val="both"/>
        <w:rPr>
          <w:rFonts w:ascii="Times New Roman" w:eastAsia="Arial" w:hAnsi="Times New Roman"/>
          <w:sz w:val="26"/>
          <w:szCs w:val="26"/>
        </w:rPr>
      </w:pP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4 \s 1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w:t>
      </w:r>
      <w:r>
        <w:rPr>
          <w:rFonts w:ascii="Times New Roman" w:eastAsia="Arial" w:hAnsi="Times New Roman"/>
          <w:sz w:val="26"/>
          <w:szCs w:val="26"/>
        </w:rPr>
        <w:t xml:space="preserve">any property constituting, or derived from, any proceeds the person </w:t>
      </w:r>
      <w:r>
        <w:rPr>
          <w:rFonts w:ascii="Times New Roman" w:eastAsia="Arial" w:hAnsi="Times New Roman"/>
          <w:sz w:val="26"/>
          <w:szCs w:val="26"/>
        </w:rPr>
        <w:lastRenderedPageBreak/>
        <w:t>obtained, directly or indirectly, as the result of such violation;</w:t>
      </w:r>
    </w:p>
    <w:p w:rsidR="00D16F5D" w:rsidRDefault="00D16F5D" w:rsidP="00D16F5D">
      <w:pPr>
        <w:spacing w:after="0" w:line="240" w:lineRule="auto"/>
        <w:ind w:left="720" w:right="720" w:firstLine="360"/>
        <w:jc w:val="both"/>
        <w:rPr>
          <w:rFonts w:ascii="Times New Roman" w:eastAsia="Arial" w:hAnsi="Times New Roman"/>
          <w:sz w:val="26"/>
          <w:szCs w:val="26"/>
        </w:rPr>
      </w:pPr>
    </w:p>
    <w:p w:rsidR="00D16F5D" w:rsidRDefault="00D16F5D" w:rsidP="00D16F5D">
      <w:pPr>
        <w:spacing w:after="0" w:line="240" w:lineRule="auto"/>
        <w:ind w:left="720" w:right="720" w:firstLine="360"/>
        <w:jc w:val="both"/>
        <w:rPr>
          <w:rFonts w:ascii="Times New Roman" w:eastAsia="Arial" w:hAnsi="Times New Roman"/>
          <w:sz w:val="26"/>
          <w:szCs w:val="26"/>
        </w:rPr>
      </w:pP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2 </w:instrText>
      </w:r>
      <w:r>
        <w:rPr>
          <w:rFonts w:ascii="Times New Roman" w:eastAsia="Arial" w:hAnsi="Times New Roman"/>
          <w:sz w:val="26"/>
          <w:szCs w:val="26"/>
        </w:rPr>
        <w:fldChar w:fldCharType="end"/>
      </w:r>
      <w:r>
        <w:rPr>
          <w:rFonts w:ascii="Times New Roman" w:eastAsia="Arial" w:hAnsi="Times New Roman"/>
          <w:sz w:val="26"/>
          <w:szCs w:val="26"/>
        </w:rPr>
        <w:t xml:space="preserve"> any of the person’s property used, or intended to be used, in any manner or part, to commit, or to facilitate the commission of, such violation; and</w:t>
      </w:r>
    </w:p>
    <w:p w:rsidR="00D16F5D" w:rsidRDefault="00D16F5D" w:rsidP="00D16F5D">
      <w:pPr>
        <w:spacing w:after="0" w:line="240" w:lineRule="auto"/>
        <w:ind w:left="720" w:right="720" w:firstLine="360"/>
        <w:jc w:val="both"/>
        <w:rPr>
          <w:rFonts w:ascii="Times New Roman" w:eastAsia="Arial" w:hAnsi="Times New Roman"/>
          <w:sz w:val="26"/>
          <w:szCs w:val="26"/>
        </w:rPr>
      </w:pPr>
    </w:p>
    <w:p w:rsidR="00D16F5D" w:rsidRPr="00503874" w:rsidRDefault="00D16F5D" w:rsidP="00D16F5D">
      <w:pPr>
        <w:spacing w:after="0" w:line="240" w:lineRule="auto"/>
        <w:ind w:left="720" w:right="720" w:firstLine="360"/>
        <w:jc w:val="both"/>
        <w:rPr>
          <w:rFonts w:ascii="Times New Roman" w:eastAsia="Arial" w:hAnsi="Times New Roman"/>
          <w:sz w:val="26"/>
          <w:szCs w:val="26"/>
        </w:rPr>
      </w:pP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3 </w:instrText>
      </w:r>
      <w:r>
        <w:rPr>
          <w:rFonts w:ascii="Times New Roman" w:eastAsia="Arial" w:hAnsi="Times New Roman"/>
          <w:sz w:val="26"/>
          <w:szCs w:val="26"/>
        </w:rPr>
        <w:fldChar w:fldCharType="end"/>
      </w:r>
      <w:r>
        <w:rPr>
          <w:rFonts w:ascii="Times New Roman" w:eastAsia="Arial" w:hAnsi="Times New Roman"/>
          <w:sz w:val="26"/>
          <w:szCs w:val="26"/>
        </w:rPr>
        <w:t xml:space="preserve"> in the case of a person convicted of engaging in a continuing criminal enterprise [the defendant forfeits any interest in the enterprise itself]</w:t>
      </w:r>
    </w:p>
    <w:p w:rsidR="00D16F5D" w:rsidRPr="00503874" w:rsidRDefault="00D16F5D" w:rsidP="00D16F5D">
      <w:pPr>
        <w:spacing w:after="0" w:line="240" w:lineRule="auto"/>
        <w:jc w:val="both"/>
        <w:rPr>
          <w:rFonts w:ascii="Times New Roman" w:eastAsia="Arial" w:hAnsi="Times New Roman"/>
          <w:sz w:val="26"/>
          <w:szCs w:val="26"/>
        </w:rPr>
      </w:pPr>
    </w:p>
    <w:p w:rsidR="00D16F5D" w:rsidRDefault="00D16F5D" w:rsidP="00D16F5D">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With respect to the forfeitures under 18 U.S.C. § 982, the preponderance of the evidence standard applies. </w:t>
      </w:r>
      <w:r w:rsidRPr="00293D3A">
        <w:rPr>
          <w:rFonts w:ascii="Times New Roman" w:eastAsia="Arial" w:hAnsi="Times New Roman"/>
          <w:i/>
          <w:sz w:val="26"/>
          <w:szCs w:val="26"/>
        </w:rPr>
        <w:t>United States v. Cabeza</w:t>
      </w:r>
      <w:r>
        <w:rPr>
          <w:rFonts w:ascii="Times New Roman" w:eastAsia="Arial" w:hAnsi="Times New Roman"/>
          <w:sz w:val="26"/>
          <w:szCs w:val="26"/>
        </w:rPr>
        <w:t>, 258 F.3d 1256 (11</w:t>
      </w:r>
      <w:r w:rsidRPr="00483F8E">
        <w:rPr>
          <w:rFonts w:ascii="Times New Roman" w:eastAsia="Arial" w:hAnsi="Times New Roman"/>
          <w:sz w:val="26"/>
          <w:szCs w:val="26"/>
          <w:vertAlign w:val="superscript"/>
        </w:rPr>
        <w:t>th</w:t>
      </w:r>
      <w:r>
        <w:rPr>
          <w:rFonts w:ascii="Times New Roman" w:eastAsia="Arial" w:hAnsi="Times New Roman"/>
          <w:sz w:val="26"/>
          <w:szCs w:val="26"/>
        </w:rPr>
        <w:t xml:space="preserve"> Cir. 2001) (holding also that the principle of </w:t>
      </w:r>
      <w:r w:rsidRPr="00293D3A">
        <w:rPr>
          <w:rFonts w:ascii="Times New Roman" w:eastAsia="Arial" w:hAnsi="Times New Roman"/>
          <w:i/>
          <w:sz w:val="26"/>
          <w:szCs w:val="26"/>
        </w:rPr>
        <w:t>Apprendi</w:t>
      </w:r>
      <w:r>
        <w:rPr>
          <w:rFonts w:ascii="Times New Roman" w:eastAsia="Arial" w:hAnsi="Times New Roman"/>
          <w:sz w:val="26"/>
          <w:szCs w:val="26"/>
        </w:rPr>
        <w:t xml:space="preserve"> does not apply to forfeiture proceedings.)</w:t>
      </w:r>
    </w:p>
    <w:p w:rsidR="00D16F5D" w:rsidRDefault="00D16F5D" w:rsidP="00D16F5D">
      <w:pPr>
        <w:spacing w:after="0" w:line="240" w:lineRule="auto"/>
        <w:jc w:val="both"/>
        <w:rPr>
          <w:rFonts w:ascii="Times New Roman" w:eastAsia="Arial" w:hAnsi="Times New Roman"/>
          <w:sz w:val="26"/>
          <w:szCs w:val="26"/>
        </w:rPr>
      </w:pPr>
    </w:p>
    <w:p w:rsidR="00D16F5D" w:rsidRDefault="00D16F5D" w:rsidP="00D16F5D">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With respect to the Government’s burden of proof under 18 U.S.C. § 1963 (RICO), the Eleventh Circuit has not squarely decided the issue. </w:t>
      </w:r>
      <w:r w:rsidRPr="00293D3A">
        <w:rPr>
          <w:rFonts w:ascii="Times New Roman" w:eastAsia="Arial" w:hAnsi="Times New Roman"/>
          <w:i/>
          <w:sz w:val="26"/>
          <w:szCs w:val="26"/>
        </w:rPr>
        <w:t>See United States v. Goldin Industries, Inc.</w:t>
      </w:r>
      <w:r>
        <w:rPr>
          <w:rFonts w:ascii="Times New Roman" w:eastAsia="Arial" w:hAnsi="Times New Roman"/>
          <w:sz w:val="26"/>
          <w:szCs w:val="26"/>
        </w:rPr>
        <w:t>, 219 F.3d 1271, 1278 at note 10 (11</w:t>
      </w:r>
      <w:r w:rsidRPr="00483F8E">
        <w:rPr>
          <w:rFonts w:ascii="Times New Roman" w:eastAsia="Arial" w:hAnsi="Times New Roman"/>
          <w:sz w:val="26"/>
          <w:szCs w:val="26"/>
          <w:vertAlign w:val="superscript"/>
        </w:rPr>
        <w:t>th</w:t>
      </w:r>
      <w:r>
        <w:rPr>
          <w:rFonts w:ascii="Times New Roman" w:eastAsia="Arial" w:hAnsi="Times New Roman"/>
          <w:sz w:val="26"/>
          <w:szCs w:val="26"/>
        </w:rPr>
        <w:t xml:space="preserve"> Cir. 2000) (“The government contends for the first time on appeal that the correct burden of proof is preponderance of the evidence rather than beyond a reasonable doubt. We have never decided this issue with respect to RICO’s forfeiture provision. We need not decide the issue here…”)</w:t>
      </w:r>
    </w:p>
    <w:p w:rsidR="00D16F5D" w:rsidRDefault="00D16F5D" w:rsidP="00D16F5D">
      <w:pPr>
        <w:spacing w:after="0" w:line="240" w:lineRule="auto"/>
        <w:jc w:val="both"/>
        <w:rPr>
          <w:rFonts w:ascii="Times New Roman" w:eastAsia="Arial" w:hAnsi="Times New Roman"/>
          <w:sz w:val="26"/>
          <w:szCs w:val="26"/>
        </w:rPr>
      </w:pPr>
    </w:p>
    <w:p w:rsidR="00D16F5D" w:rsidRDefault="00D16F5D" w:rsidP="00D16F5D">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Other Circuits, however, have held that the beyond a reasonable doubt standard applies. </w:t>
      </w:r>
      <w:r w:rsidRPr="00293D3A">
        <w:rPr>
          <w:rFonts w:ascii="Times New Roman" w:eastAsia="Arial" w:hAnsi="Times New Roman"/>
          <w:i/>
          <w:sz w:val="26"/>
          <w:szCs w:val="26"/>
        </w:rPr>
        <w:t>See United States v. Pelullo</w:t>
      </w:r>
      <w:r>
        <w:rPr>
          <w:rFonts w:ascii="Times New Roman" w:eastAsia="Arial" w:hAnsi="Times New Roman"/>
          <w:sz w:val="26"/>
          <w:szCs w:val="26"/>
        </w:rPr>
        <w:t>, 14 F.3d 881, 906 (3d Cir. 1994) (holding that government, in a criminal forfeiture proceeding under 18 U.S.C. § 1963</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t xml:space="preserve">, must prove beyond a reasonable doubt that the targeted property was derived from the defendant’s racketeering activity); </w:t>
      </w:r>
      <w:r w:rsidRPr="00293D3A">
        <w:rPr>
          <w:rFonts w:ascii="Times New Roman" w:eastAsia="Arial" w:hAnsi="Times New Roman"/>
          <w:i/>
          <w:sz w:val="26"/>
          <w:szCs w:val="26"/>
        </w:rPr>
        <w:t>United States v. Horak</w:t>
      </w:r>
      <w:r>
        <w:rPr>
          <w:rFonts w:ascii="Times New Roman" w:eastAsia="Arial" w:hAnsi="Times New Roman"/>
          <w:sz w:val="26"/>
          <w:szCs w:val="26"/>
        </w:rPr>
        <w:t>, 833 F.2d 1235, 1243 (7</w:t>
      </w:r>
      <w:r w:rsidRPr="00483F8E">
        <w:rPr>
          <w:rFonts w:ascii="Times New Roman" w:eastAsia="Arial" w:hAnsi="Times New Roman"/>
          <w:sz w:val="26"/>
          <w:szCs w:val="26"/>
          <w:vertAlign w:val="superscript"/>
        </w:rPr>
        <w:t>th</w:t>
      </w:r>
      <w:r>
        <w:rPr>
          <w:rFonts w:ascii="Times New Roman" w:eastAsia="Arial" w:hAnsi="Times New Roman"/>
          <w:sz w:val="26"/>
          <w:szCs w:val="26"/>
        </w:rPr>
        <w:t xml:space="preserve"> Cir. 1987). </w:t>
      </w:r>
      <w:r w:rsidRPr="00293D3A">
        <w:rPr>
          <w:rFonts w:ascii="Times New Roman" w:eastAsia="Arial" w:hAnsi="Times New Roman"/>
          <w:i/>
          <w:sz w:val="26"/>
          <w:szCs w:val="26"/>
        </w:rPr>
        <w:t>See also United States v. Houlihan</w:t>
      </w:r>
      <w:r>
        <w:rPr>
          <w:rFonts w:ascii="Times New Roman" w:eastAsia="Arial" w:hAnsi="Times New Roman"/>
          <w:sz w:val="26"/>
          <w:szCs w:val="26"/>
        </w:rPr>
        <w:t>, 92 F.3d 1271, 1299 at note 33 (1</w:t>
      </w:r>
      <w:r w:rsidRPr="00483F8E">
        <w:rPr>
          <w:rFonts w:ascii="Times New Roman" w:eastAsia="Arial" w:hAnsi="Times New Roman"/>
          <w:sz w:val="26"/>
          <w:szCs w:val="26"/>
          <w:vertAlign w:val="superscript"/>
        </w:rPr>
        <w:t>st</w:t>
      </w:r>
      <w:r>
        <w:rPr>
          <w:rFonts w:ascii="Times New Roman" w:eastAsia="Arial" w:hAnsi="Times New Roman"/>
          <w:sz w:val="26"/>
          <w:szCs w:val="26"/>
        </w:rPr>
        <w:t xml:space="preserve"> Cir. 1996) (affirming district court’s instruction that the government had the burden of proving entitlement to forfeiture pursuant to 18 U.S.C. § 1963</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t xml:space="preserve"> beyond a reasonable doubt, but noting that “the government may have conceded too much,” and that the question was open).</w:t>
      </w:r>
    </w:p>
    <w:p w:rsidR="00D16F5D" w:rsidRDefault="00D16F5D" w:rsidP="00D16F5D">
      <w:pPr>
        <w:spacing w:after="0" w:line="240" w:lineRule="auto"/>
        <w:jc w:val="both"/>
        <w:rPr>
          <w:rFonts w:ascii="Times New Roman" w:eastAsia="Arial" w:hAnsi="Times New Roman"/>
          <w:sz w:val="26"/>
          <w:szCs w:val="26"/>
        </w:rPr>
      </w:pPr>
    </w:p>
    <w:p w:rsidR="00D16F5D" w:rsidRDefault="00D16F5D" w:rsidP="00D16F5D">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In </w:t>
      </w:r>
      <w:r w:rsidRPr="00293D3A">
        <w:rPr>
          <w:rFonts w:ascii="Times New Roman" w:eastAsia="Arial" w:hAnsi="Times New Roman"/>
          <w:i/>
          <w:sz w:val="26"/>
          <w:szCs w:val="26"/>
        </w:rPr>
        <w:t>United States v. Anderson</w:t>
      </w:r>
      <w:r>
        <w:rPr>
          <w:rFonts w:ascii="Times New Roman" w:eastAsia="Arial" w:hAnsi="Times New Roman"/>
          <w:sz w:val="26"/>
          <w:szCs w:val="26"/>
        </w:rPr>
        <w:t>, 782 F.2d 908, 918 (11</w:t>
      </w:r>
      <w:r w:rsidRPr="00483F8E">
        <w:rPr>
          <w:rFonts w:ascii="Times New Roman" w:eastAsia="Arial" w:hAnsi="Times New Roman"/>
          <w:sz w:val="26"/>
          <w:szCs w:val="26"/>
          <w:vertAlign w:val="superscript"/>
        </w:rPr>
        <w:t>th</w:t>
      </w:r>
      <w:r>
        <w:rPr>
          <w:rFonts w:ascii="Times New Roman" w:eastAsia="Arial" w:hAnsi="Times New Roman"/>
          <w:sz w:val="26"/>
          <w:szCs w:val="26"/>
        </w:rPr>
        <w:t xml:space="preserve"> Cir. 1986), the Eleventh Circuit held that “[a] defendant’s conviction under the RICO statute subjects </w:t>
      </w:r>
      <w:r>
        <w:rPr>
          <w:rFonts w:ascii="Times New Roman" w:eastAsia="Arial" w:hAnsi="Times New Roman"/>
          <w:i/>
          <w:sz w:val="26"/>
          <w:szCs w:val="26"/>
        </w:rPr>
        <w:t>all</w:t>
      </w:r>
      <w:r>
        <w:rPr>
          <w:rFonts w:ascii="Times New Roman" w:eastAsia="Arial" w:hAnsi="Times New Roman"/>
          <w:sz w:val="26"/>
          <w:szCs w:val="26"/>
        </w:rPr>
        <w:t xml:space="preserve"> of his interest in the enterprise to forfeiture ‘regardless of whether those assets were themselves “tainted” by use in connection with the racketeering activity.’”</w:t>
      </w:r>
    </w:p>
    <w:p w:rsidR="00D16F5D" w:rsidRDefault="00D16F5D" w:rsidP="00D16F5D">
      <w:pPr>
        <w:spacing w:after="0" w:line="240" w:lineRule="auto"/>
        <w:jc w:val="both"/>
        <w:rPr>
          <w:rFonts w:ascii="Times New Roman" w:eastAsia="Arial" w:hAnsi="Times New Roman"/>
          <w:sz w:val="26"/>
          <w:szCs w:val="26"/>
        </w:rPr>
      </w:pPr>
    </w:p>
    <w:p w:rsidR="00D16F5D" w:rsidRPr="00F40003" w:rsidRDefault="00D16F5D" w:rsidP="00D16F5D">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With respect to forfeitures sought under 21 U.S.C. § 853, the Eleventh Circuit has held that the preponderance of the evidence standard applies. </w:t>
      </w:r>
      <w:r w:rsidRPr="00293D3A">
        <w:rPr>
          <w:rFonts w:ascii="Times New Roman" w:eastAsia="Arial" w:hAnsi="Times New Roman"/>
          <w:i/>
          <w:sz w:val="26"/>
          <w:szCs w:val="26"/>
        </w:rPr>
        <w:t>United States v. Elgersma</w:t>
      </w:r>
      <w:r>
        <w:rPr>
          <w:rFonts w:ascii="Times New Roman" w:eastAsia="Arial" w:hAnsi="Times New Roman"/>
          <w:sz w:val="26"/>
          <w:szCs w:val="26"/>
        </w:rPr>
        <w:t>, 971 F.2d 690, 697 (11</w:t>
      </w:r>
      <w:r w:rsidRPr="00F40003">
        <w:rPr>
          <w:rFonts w:ascii="Times New Roman" w:eastAsia="Arial" w:hAnsi="Times New Roman"/>
          <w:sz w:val="26"/>
          <w:szCs w:val="26"/>
          <w:vertAlign w:val="superscript"/>
        </w:rPr>
        <w:t>th</w:t>
      </w:r>
      <w:r>
        <w:rPr>
          <w:rFonts w:ascii="Times New Roman" w:eastAsia="Arial" w:hAnsi="Times New Roman"/>
          <w:sz w:val="26"/>
          <w:szCs w:val="26"/>
        </w:rPr>
        <w:t xml:space="preserve"> Cir. 1992) (en banc) (holding that the preponderance standard applies in § 853</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1 </w:instrText>
      </w:r>
      <w:r>
        <w:rPr>
          <w:rFonts w:ascii="Times New Roman" w:eastAsia="Arial" w:hAnsi="Times New Roman"/>
          <w:sz w:val="26"/>
          <w:szCs w:val="26"/>
        </w:rPr>
        <w:fldChar w:fldCharType="end"/>
      </w:r>
      <w:r>
        <w:rPr>
          <w:rFonts w:ascii="Times New Roman" w:eastAsia="Arial" w:hAnsi="Times New Roman"/>
          <w:sz w:val="26"/>
          <w:szCs w:val="26"/>
        </w:rPr>
        <w:t xml:space="preserve"> forfeitures); </w:t>
      </w:r>
      <w:r w:rsidRPr="00293D3A">
        <w:rPr>
          <w:rFonts w:ascii="Times New Roman" w:eastAsia="Arial" w:hAnsi="Times New Roman"/>
          <w:i/>
          <w:sz w:val="26"/>
          <w:szCs w:val="26"/>
        </w:rPr>
        <w:t xml:space="preserve">United States v. </w:t>
      </w:r>
      <w:proofErr w:type="spellStart"/>
      <w:r w:rsidRPr="00293D3A">
        <w:rPr>
          <w:rFonts w:ascii="Times New Roman" w:eastAsia="Arial" w:hAnsi="Times New Roman"/>
          <w:i/>
          <w:sz w:val="26"/>
          <w:szCs w:val="26"/>
        </w:rPr>
        <w:t>Dicter</w:t>
      </w:r>
      <w:proofErr w:type="spellEnd"/>
      <w:r>
        <w:rPr>
          <w:rFonts w:ascii="Times New Roman" w:eastAsia="Arial" w:hAnsi="Times New Roman"/>
          <w:sz w:val="26"/>
          <w:szCs w:val="26"/>
        </w:rPr>
        <w:t>, 198 F.3d 1284, 1289 (11</w:t>
      </w:r>
      <w:r w:rsidRPr="00F40003">
        <w:rPr>
          <w:rFonts w:ascii="Times New Roman" w:eastAsia="Arial" w:hAnsi="Times New Roman"/>
          <w:sz w:val="26"/>
          <w:szCs w:val="26"/>
          <w:vertAlign w:val="superscript"/>
        </w:rPr>
        <w:t>th</w:t>
      </w:r>
      <w:r>
        <w:rPr>
          <w:rFonts w:ascii="Times New Roman" w:eastAsia="Arial" w:hAnsi="Times New Roman"/>
          <w:sz w:val="26"/>
          <w:szCs w:val="26"/>
        </w:rPr>
        <w:t xml:space="preserve"> Cir. 1999) (the preponderance of the evidence standard governs forfeitures under § 853</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2 </w:instrText>
      </w:r>
      <w:r>
        <w:rPr>
          <w:rFonts w:ascii="Times New Roman" w:eastAsia="Arial" w:hAnsi="Times New Roman"/>
          <w:sz w:val="26"/>
          <w:szCs w:val="26"/>
        </w:rPr>
        <w:fldChar w:fldCharType="end"/>
      </w:r>
      <w:r>
        <w:rPr>
          <w:rFonts w:ascii="Times New Roman" w:eastAsia="Arial" w:hAnsi="Times New Roman"/>
          <w:sz w:val="26"/>
          <w:szCs w:val="26"/>
        </w:rPr>
        <w:t>).</w:t>
      </w:r>
    </w:p>
    <w:p w:rsidR="00D16F5D" w:rsidRPr="00503874" w:rsidRDefault="00D16F5D" w:rsidP="00D16F5D">
      <w:pPr>
        <w:spacing w:after="0" w:line="240" w:lineRule="auto"/>
        <w:jc w:val="both"/>
        <w:rPr>
          <w:rFonts w:ascii="Times New Roman" w:eastAsia="Arial" w:hAnsi="Times New Roman"/>
          <w:sz w:val="26"/>
          <w:szCs w:val="26"/>
        </w:rPr>
      </w:pPr>
    </w:p>
    <w:p w:rsidR="00D16F5D" w:rsidRDefault="00D16F5D" w:rsidP="00D16F5D">
      <w:pPr>
        <w:spacing w:after="0" w:line="240" w:lineRule="auto"/>
        <w:jc w:val="both"/>
        <w:rPr>
          <w:rFonts w:ascii="Times New Roman" w:eastAsia="Arial" w:hAnsi="Times New Roman"/>
          <w:sz w:val="26"/>
          <w:szCs w:val="26"/>
        </w:rPr>
      </w:pPr>
      <w:r>
        <w:rPr>
          <w:rFonts w:ascii="Times New Roman" w:eastAsia="Arial" w:hAnsi="Times New Roman"/>
          <w:sz w:val="26"/>
          <w:szCs w:val="26"/>
        </w:rPr>
        <w:t>21 U.S.C. § 853</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4 </w:instrText>
      </w:r>
      <w:r>
        <w:rPr>
          <w:rFonts w:ascii="Times New Roman" w:eastAsia="Arial" w:hAnsi="Times New Roman"/>
          <w:sz w:val="26"/>
          <w:szCs w:val="26"/>
        </w:rPr>
        <w:fldChar w:fldCharType="end"/>
      </w:r>
      <w:r>
        <w:rPr>
          <w:rFonts w:ascii="Times New Roman" w:eastAsia="Arial" w:hAnsi="Times New Roman"/>
          <w:sz w:val="26"/>
          <w:szCs w:val="26"/>
        </w:rPr>
        <w:t xml:space="preserve"> creates a rebuttable presumption that property is subject to forfeiture if the Government proves by a preponderance of the evidence that the drug offender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1 </w:instrText>
      </w:r>
      <w:r>
        <w:rPr>
          <w:rFonts w:ascii="Times New Roman" w:eastAsia="Arial" w:hAnsi="Times New Roman"/>
          <w:sz w:val="26"/>
          <w:szCs w:val="26"/>
        </w:rPr>
        <w:fldChar w:fldCharType="end"/>
      </w:r>
      <w:r>
        <w:rPr>
          <w:rFonts w:ascii="Times New Roman" w:eastAsia="Arial" w:hAnsi="Times New Roman"/>
          <w:sz w:val="26"/>
          <w:szCs w:val="26"/>
        </w:rPr>
        <w:t xml:space="preserve"> acquired the property during the period of time the offense of conviction was committed, or within a reasonable time thereafter, and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2 </w:instrText>
      </w:r>
      <w:r>
        <w:rPr>
          <w:rFonts w:ascii="Times New Roman" w:eastAsia="Arial" w:hAnsi="Times New Roman"/>
          <w:sz w:val="26"/>
          <w:szCs w:val="26"/>
        </w:rPr>
        <w:fldChar w:fldCharType="end"/>
      </w:r>
      <w:r>
        <w:rPr>
          <w:rFonts w:ascii="Times New Roman" w:eastAsia="Arial" w:hAnsi="Times New Roman"/>
          <w:sz w:val="26"/>
          <w:szCs w:val="26"/>
        </w:rPr>
        <w:t xml:space="preserve"> there was no likely source for such property other than the offense.</w:t>
      </w:r>
    </w:p>
    <w:p w:rsidR="00D16F5D" w:rsidRDefault="00D16F5D" w:rsidP="00D16F5D">
      <w:pPr>
        <w:spacing w:after="0" w:line="240" w:lineRule="auto"/>
        <w:jc w:val="both"/>
        <w:rPr>
          <w:rFonts w:ascii="Times New Roman" w:eastAsia="Arial" w:hAnsi="Times New Roman"/>
          <w:sz w:val="26"/>
          <w:szCs w:val="26"/>
        </w:rPr>
      </w:pPr>
    </w:p>
    <w:p w:rsidR="00725167" w:rsidRPr="00D16F5D" w:rsidRDefault="00D16F5D" w:rsidP="00D16F5D">
      <w:pPr>
        <w:spacing w:after="0" w:line="240" w:lineRule="auto"/>
        <w:jc w:val="both"/>
        <w:rPr>
          <w:rFonts w:ascii="Times New Roman" w:eastAsia="Arial" w:hAnsi="Times New Roman"/>
          <w:sz w:val="26"/>
          <w:szCs w:val="26"/>
        </w:rPr>
      </w:pPr>
      <w:r w:rsidRPr="00F40003">
        <w:rPr>
          <w:rFonts w:ascii="Times New Roman" w:eastAsia="Arial" w:hAnsi="Times New Roman"/>
          <w:spacing w:val="-2"/>
          <w:sz w:val="26"/>
          <w:szCs w:val="26"/>
        </w:rPr>
        <w:t xml:space="preserve">With respect to forfeiture proceedings under 18 U.S.C. § 2253, the statute (subsection </w:t>
      </w:r>
      <w:r w:rsidRPr="00F40003">
        <w:rPr>
          <w:rFonts w:ascii="Times New Roman" w:eastAsia="Arial" w:hAnsi="Times New Roman"/>
          <w:spacing w:val="-2"/>
          <w:sz w:val="26"/>
          <w:szCs w:val="26"/>
        </w:rPr>
        <w:fldChar w:fldCharType="begin"/>
      </w:r>
      <w:r w:rsidRPr="00F40003">
        <w:rPr>
          <w:rFonts w:ascii="Times New Roman" w:eastAsia="Arial" w:hAnsi="Times New Roman"/>
          <w:spacing w:val="-2"/>
          <w:sz w:val="26"/>
          <w:szCs w:val="26"/>
        </w:rPr>
        <w:instrText xml:space="preserve"> LISTNUM  NumberDefault \l 5 \s 5 </w:instrText>
      </w:r>
      <w:r w:rsidRPr="00F40003">
        <w:rPr>
          <w:rFonts w:ascii="Times New Roman" w:eastAsia="Arial" w:hAnsi="Times New Roman"/>
          <w:spacing w:val="-2"/>
          <w:sz w:val="26"/>
          <w:szCs w:val="26"/>
        </w:rPr>
        <w:fldChar w:fldCharType="end"/>
      </w:r>
      <w:r w:rsidRPr="00F40003">
        <w:rPr>
          <w:rFonts w:ascii="Times New Roman" w:eastAsia="Arial" w:hAnsi="Times New Roman"/>
          <w:spacing w:val="-2"/>
          <w:sz w:val="26"/>
          <w:szCs w:val="26"/>
        </w:rPr>
        <w:t>)</w:t>
      </w:r>
      <w:r>
        <w:rPr>
          <w:rFonts w:ascii="Times New Roman" w:eastAsia="Arial" w:hAnsi="Times New Roman"/>
          <w:sz w:val="26"/>
          <w:szCs w:val="26"/>
        </w:rPr>
        <w:t xml:space="preserve"> requires proof beyond a reasonable doubt.</w:t>
      </w:r>
    </w:p>
    <w:sectPr w:rsidR="00725167" w:rsidRPr="00D16F5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21EA" w:rsidRDefault="003521EA" w:rsidP="003521EA">
      <w:pPr>
        <w:spacing w:after="0" w:line="240" w:lineRule="auto"/>
      </w:pPr>
      <w:r>
        <w:separator/>
      </w:r>
    </w:p>
  </w:endnote>
  <w:endnote w:type="continuationSeparator" w:id="0">
    <w:p w:rsidR="003521EA" w:rsidRDefault="003521EA" w:rsidP="003521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21EA" w:rsidRDefault="003521EA" w:rsidP="003521EA">
      <w:pPr>
        <w:spacing w:after="0" w:line="240" w:lineRule="auto"/>
      </w:pPr>
      <w:r>
        <w:separator/>
      </w:r>
    </w:p>
  </w:footnote>
  <w:footnote w:type="continuationSeparator" w:id="0">
    <w:p w:rsidR="003521EA" w:rsidRDefault="003521EA" w:rsidP="003521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01A23"/>
    <w:rsid w:val="00014B03"/>
    <w:rsid w:val="000161B0"/>
    <w:rsid w:val="0002352A"/>
    <w:rsid w:val="000256FD"/>
    <w:rsid w:val="0003583F"/>
    <w:rsid w:val="00042055"/>
    <w:rsid w:val="00042789"/>
    <w:rsid w:val="0005723A"/>
    <w:rsid w:val="0006716B"/>
    <w:rsid w:val="00087D55"/>
    <w:rsid w:val="00091548"/>
    <w:rsid w:val="00097C62"/>
    <w:rsid w:val="000A7260"/>
    <w:rsid w:val="000B303C"/>
    <w:rsid w:val="000C1BFC"/>
    <w:rsid w:val="000C32C1"/>
    <w:rsid w:val="000C3F4B"/>
    <w:rsid w:val="000D5591"/>
    <w:rsid w:val="000D76D2"/>
    <w:rsid w:val="00110446"/>
    <w:rsid w:val="0011378D"/>
    <w:rsid w:val="001217D5"/>
    <w:rsid w:val="0012744C"/>
    <w:rsid w:val="00134A2F"/>
    <w:rsid w:val="00135397"/>
    <w:rsid w:val="00137BA2"/>
    <w:rsid w:val="00144B24"/>
    <w:rsid w:val="001450C4"/>
    <w:rsid w:val="001536CF"/>
    <w:rsid w:val="00157747"/>
    <w:rsid w:val="00166AB9"/>
    <w:rsid w:val="00194E82"/>
    <w:rsid w:val="001D3E33"/>
    <w:rsid w:val="001D49F2"/>
    <w:rsid w:val="001D5FF6"/>
    <w:rsid w:val="001E3479"/>
    <w:rsid w:val="001E4EF8"/>
    <w:rsid w:val="001E5B53"/>
    <w:rsid w:val="001F6432"/>
    <w:rsid w:val="001F7640"/>
    <w:rsid w:val="002077C3"/>
    <w:rsid w:val="00212F99"/>
    <w:rsid w:val="002161E7"/>
    <w:rsid w:val="002329BF"/>
    <w:rsid w:val="00233997"/>
    <w:rsid w:val="00236275"/>
    <w:rsid w:val="002455F2"/>
    <w:rsid w:val="00245EF2"/>
    <w:rsid w:val="00246533"/>
    <w:rsid w:val="00260095"/>
    <w:rsid w:val="002604B9"/>
    <w:rsid w:val="00290544"/>
    <w:rsid w:val="00293D3A"/>
    <w:rsid w:val="002B6595"/>
    <w:rsid w:val="002D2202"/>
    <w:rsid w:val="002E24B1"/>
    <w:rsid w:val="003067A0"/>
    <w:rsid w:val="00314335"/>
    <w:rsid w:val="00321868"/>
    <w:rsid w:val="003521EA"/>
    <w:rsid w:val="00367FCA"/>
    <w:rsid w:val="00372806"/>
    <w:rsid w:val="003A75E9"/>
    <w:rsid w:val="003B0729"/>
    <w:rsid w:val="003B09A8"/>
    <w:rsid w:val="003B14B7"/>
    <w:rsid w:val="003C2AB5"/>
    <w:rsid w:val="003C2BF8"/>
    <w:rsid w:val="003D6207"/>
    <w:rsid w:val="00406A43"/>
    <w:rsid w:val="00431B02"/>
    <w:rsid w:val="00465F35"/>
    <w:rsid w:val="0046770E"/>
    <w:rsid w:val="00480645"/>
    <w:rsid w:val="00483B81"/>
    <w:rsid w:val="004846E2"/>
    <w:rsid w:val="004A1AAC"/>
    <w:rsid w:val="004A354F"/>
    <w:rsid w:val="004C148A"/>
    <w:rsid w:val="004C531E"/>
    <w:rsid w:val="004D06A2"/>
    <w:rsid w:val="004D4BF2"/>
    <w:rsid w:val="004D5FF5"/>
    <w:rsid w:val="004E48D7"/>
    <w:rsid w:val="004E73B8"/>
    <w:rsid w:val="004F0806"/>
    <w:rsid w:val="004F5F82"/>
    <w:rsid w:val="00503A01"/>
    <w:rsid w:val="00511CE4"/>
    <w:rsid w:val="00533E75"/>
    <w:rsid w:val="00543EBC"/>
    <w:rsid w:val="0056064A"/>
    <w:rsid w:val="00565EF7"/>
    <w:rsid w:val="00586722"/>
    <w:rsid w:val="005B45D9"/>
    <w:rsid w:val="005C4DB9"/>
    <w:rsid w:val="005E6914"/>
    <w:rsid w:val="005F50E3"/>
    <w:rsid w:val="00615301"/>
    <w:rsid w:val="0061645E"/>
    <w:rsid w:val="006179FB"/>
    <w:rsid w:val="00632C46"/>
    <w:rsid w:val="00633618"/>
    <w:rsid w:val="00636B96"/>
    <w:rsid w:val="00667FBA"/>
    <w:rsid w:val="00673F05"/>
    <w:rsid w:val="00696A1C"/>
    <w:rsid w:val="006A19AB"/>
    <w:rsid w:val="006B1FC0"/>
    <w:rsid w:val="006C204A"/>
    <w:rsid w:val="00712233"/>
    <w:rsid w:val="00725167"/>
    <w:rsid w:val="007507FB"/>
    <w:rsid w:val="00772642"/>
    <w:rsid w:val="00780FDD"/>
    <w:rsid w:val="00783A2A"/>
    <w:rsid w:val="007C4B9C"/>
    <w:rsid w:val="007C5077"/>
    <w:rsid w:val="007F0CBC"/>
    <w:rsid w:val="007F2C07"/>
    <w:rsid w:val="0080418B"/>
    <w:rsid w:val="00804614"/>
    <w:rsid w:val="0081575C"/>
    <w:rsid w:val="0082256F"/>
    <w:rsid w:val="00824AA2"/>
    <w:rsid w:val="00831238"/>
    <w:rsid w:val="008319C7"/>
    <w:rsid w:val="00841F17"/>
    <w:rsid w:val="008800D1"/>
    <w:rsid w:val="008A01B6"/>
    <w:rsid w:val="008A442C"/>
    <w:rsid w:val="008B149D"/>
    <w:rsid w:val="008B3742"/>
    <w:rsid w:val="008B4118"/>
    <w:rsid w:val="008C025F"/>
    <w:rsid w:val="008C13DC"/>
    <w:rsid w:val="008C1CC7"/>
    <w:rsid w:val="008D77A9"/>
    <w:rsid w:val="008E0F69"/>
    <w:rsid w:val="008E221D"/>
    <w:rsid w:val="008E4BA2"/>
    <w:rsid w:val="008E7C9B"/>
    <w:rsid w:val="008F1B81"/>
    <w:rsid w:val="00912D2D"/>
    <w:rsid w:val="0091750A"/>
    <w:rsid w:val="00924817"/>
    <w:rsid w:val="009458BA"/>
    <w:rsid w:val="00970D47"/>
    <w:rsid w:val="009745AC"/>
    <w:rsid w:val="00980E88"/>
    <w:rsid w:val="00995BF7"/>
    <w:rsid w:val="009A4745"/>
    <w:rsid w:val="009B3EC8"/>
    <w:rsid w:val="009B4FF2"/>
    <w:rsid w:val="009C1E78"/>
    <w:rsid w:val="009E1B73"/>
    <w:rsid w:val="009F0040"/>
    <w:rsid w:val="009F5C1B"/>
    <w:rsid w:val="009F5DAD"/>
    <w:rsid w:val="00A17AD3"/>
    <w:rsid w:val="00A355FD"/>
    <w:rsid w:val="00A53126"/>
    <w:rsid w:val="00A66EA6"/>
    <w:rsid w:val="00A746F3"/>
    <w:rsid w:val="00A82412"/>
    <w:rsid w:val="00AA01A6"/>
    <w:rsid w:val="00AA4174"/>
    <w:rsid w:val="00AC24E2"/>
    <w:rsid w:val="00AE0F43"/>
    <w:rsid w:val="00AE20D4"/>
    <w:rsid w:val="00AF2C77"/>
    <w:rsid w:val="00B111CD"/>
    <w:rsid w:val="00B11304"/>
    <w:rsid w:val="00B24096"/>
    <w:rsid w:val="00B523E6"/>
    <w:rsid w:val="00B55CBA"/>
    <w:rsid w:val="00B64F36"/>
    <w:rsid w:val="00B8093D"/>
    <w:rsid w:val="00B83F0B"/>
    <w:rsid w:val="00B85D99"/>
    <w:rsid w:val="00B930F5"/>
    <w:rsid w:val="00BA1F2B"/>
    <w:rsid w:val="00BA6680"/>
    <w:rsid w:val="00BC6D90"/>
    <w:rsid w:val="00BD01A4"/>
    <w:rsid w:val="00BE032E"/>
    <w:rsid w:val="00BE616A"/>
    <w:rsid w:val="00BE645C"/>
    <w:rsid w:val="00BF3DBF"/>
    <w:rsid w:val="00C1091D"/>
    <w:rsid w:val="00C16362"/>
    <w:rsid w:val="00C23F8A"/>
    <w:rsid w:val="00C46411"/>
    <w:rsid w:val="00C60792"/>
    <w:rsid w:val="00C6290E"/>
    <w:rsid w:val="00C67B16"/>
    <w:rsid w:val="00C83E88"/>
    <w:rsid w:val="00CA3187"/>
    <w:rsid w:val="00CA4FB6"/>
    <w:rsid w:val="00CB4D2A"/>
    <w:rsid w:val="00CC4195"/>
    <w:rsid w:val="00CC4FBE"/>
    <w:rsid w:val="00CD2013"/>
    <w:rsid w:val="00CD51F7"/>
    <w:rsid w:val="00CD734E"/>
    <w:rsid w:val="00CE7DC5"/>
    <w:rsid w:val="00CF4E02"/>
    <w:rsid w:val="00CF4F9A"/>
    <w:rsid w:val="00D137D3"/>
    <w:rsid w:val="00D163A7"/>
    <w:rsid w:val="00D16F5D"/>
    <w:rsid w:val="00D31DD6"/>
    <w:rsid w:val="00D513C4"/>
    <w:rsid w:val="00D678AA"/>
    <w:rsid w:val="00D7262F"/>
    <w:rsid w:val="00DA00D9"/>
    <w:rsid w:val="00DC18AE"/>
    <w:rsid w:val="00DC4B82"/>
    <w:rsid w:val="00DE06FC"/>
    <w:rsid w:val="00DE55A6"/>
    <w:rsid w:val="00DE7A65"/>
    <w:rsid w:val="00DE7E97"/>
    <w:rsid w:val="00DE7F68"/>
    <w:rsid w:val="00E1050F"/>
    <w:rsid w:val="00E109DF"/>
    <w:rsid w:val="00E20CB0"/>
    <w:rsid w:val="00E31401"/>
    <w:rsid w:val="00E419F1"/>
    <w:rsid w:val="00E42DFC"/>
    <w:rsid w:val="00E4328C"/>
    <w:rsid w:val="00E47F68"/>
    <w:rsid w:val="00E5081B"/>
    <w:rsid w:val="00E61913"/>
    <w:rsid w:val="00E627E0"/>
    <w:rsid w:val="00E65F7A"/>
    <w:rsid w:val="00E81914"/>
    <w:rsid w:val="00E85563"/>
    <w:rsid w:val="00EA08A4"/>
    <w:rsid w:val="00EB1384"/>
    <w:rsid w:val="00EC39ED"/>
    <w:rsid w:val="00EC4504"/>
    <w:rsid w:val="00ED619F"/>
    <w:rsid w:val="00ED63AA"/>
    <w:rsid w:val="00EF1AED"/>
    <w:rsid w:val="00F20C0B"/>
    <w:rsid w:val="00F27B7F"/>
    <w:rsid w:val="00F30B94"/>
    <w:rsid w:val="00F57477"/>
    <w:rsid w:val="00F64671"/>
    <w:rsid w:val="00F6640E"/>
    <w:rsid w:val="00F7146C"/>
    <w:rsid w:val="00F81AFD"/>
    <w:rsid w:val="00F8667A"/>
    <w:rsid w:val="00F9394E"/>
    <w:rsid w:val="00FA4737"/>
    <w:rsid w:val="00FA6C49"/>
    <w:rsid w:val="00FB7DEE"/>
    <w:rsid w:val="00FC5CF8"/>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BalloonText">
    <w:name w:val="Balloon Text"/>
    <w:basedOn w:val="Normal"/>
    <w:link w:val="BalloonTextChar"/>
    <w:uiPriority w:val="99"/>
    <w:semiHidden/>
    <w:unhideWhenUsed/>
    <w:rsid w:val="00BF3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3DBF"/>
    <w:rPr>
      <w:rFonts w:ascii="Tahoma" w:hAnsi="Tahoma" w:cs="Tahoma"/>
      <w:sz w:val="16"/>
      <w:szCs w:val="16"/>
    </w:rPr>
  </w:style>
  <w:style w:type="paragraph" w:styleId="Header">
    <w:name w:val="header"/>
    <w:basedOn w:val="Normal"/>
    <w:link w:val="HeaderChar"/>
    <w:uiPriority w:val="99"/>
    <w:unhideWhenUsed/>
    <w:rsid w:val="003521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21EA"/>
  </w:style>
  <w:style w:type="paragraph" w:styleId="Footer">
    <w:name w:val="footer"/>
    <w:basedOn w:val="Normal"/>
    <w:link w:val="FooterChar"/>
    <w:uiPriority w:val="99"/>
    <w:unhideWhenUsed/>
    <w:rsid w:val="003521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21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BalloonText">
    <w:name w:val="Balloon Text"/>
    <w:basedOn w:val="Normal"/>
    <w:link w:val="BalloonTextChar"/>
    <w:uiPriority w:val="99"/>
    <w:semiHidden/>
    <w:unhideWhenUsed/>
    <w:rsid w:val="00BF3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3DBF"/>
    <w:rPr>
      <w:rFonts w:ascii="Tahoma" w:hAnsi="Tahoma" w:cs="Tahoma"/>
      <w:sz w:val="16"/>
      <w:szCs w:val="16"/>
    </w:rPr>
  </w:style>
  <w:style w:type="paragraph" w:styleId="Header">
    <w:name w:val="header"/>
    <w:basedOn w:val="Normal"/>
    <w:link w:val="HeaderChar"/>
    <w:uiPriority w:val="99"/>
    <w:unhideWhenUsed/>
    <w:rsid w:val="003521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21EA"/>
  </w:style>
  <w:style w:type="paragraph" w:styleId="Footer">
    <w:name w:val="footer"/>
    <w:basedOn w:val="Normal"/>
    <w:link w:val="FooterChar"/>
    <w:uiPriority w:val="99"/>
    <w:unhideWhenUsed/>
    <w:rsid w:val="003521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21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1287</Words>
  <Characters>7342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2014-03-31T21:09:00Z</dcterms:created>
  <dcterms:modified xsi:type="dcterms:W3CDTF">2014-06-16T19:46:00Z</dcterms:modified>
</cp:coreProperties>
</file>